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02"/>
        <w:tblW w:w="0" w:type="auto"/>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25"/>
        <w:gridCol w:w="425"/>
        <w:gridCol w:w="425"/>
        <w:gridCol w:w="425"/>
        <w:gridCol w:w="424"/>
      </w:tblGrid>
      <w:tr w:rsidR="00FE6CCC" w14:paraId="1867D67D" w14:textId="77777777" w:rsidTr="00FE6CCC">
        <w:trPr>
          <w:trHeight w:val="424"/>
        </w:trPr>
        <w:tc>
          <w:tcPr>
            <w:tcW w:w="2124" w:type="dxa"/>
            <w:gridSpan w:val="5"/>
          </w:tcPr>
          <w:p w14:paraId="1E35FE41" w14:textId="77777777" w:rsidR="00FE6CCC" w:rsidRDefault="00FE6CCC" w:rsidP="00FE6CCC">
            <w:pPr>
              <w:pStyle w:val="TableParagraph"/>
              <w:spacing w:before="55"/>
              <w:ind w:left="489"/>
              <w:rPr>
                <w:sz w:val="20"/>
              </w:rPr>
            </w:pPr>
            <w:r>
              <w:rPr>
                <w:color w:val="5D5E5F"/>
                <w:spacing w:val="-4"/>
                <w:sz w:val="20"/>
              </w:rPr>
              <w:t>Participant</w:t>
            </w:r>
            <w:r>
              <w:rPr>
                <w:color w:val="5D5E5F"/>
                <w:spacing w:val="9"/>
                <w:sz w:val="20"/>
              </w:rPr>
              <w:t xml:space="preserve"> </w:t>
            </w:r>
            <w:r>
              <w:rPr>
                <w:color w:val="5D5E5F"/>
                <w:spacing w:val="-5"/>
                <w:sz w:val="20"/>
              </w:rPr>
              <w:t>ID</w:t>
            </w:r>
          </w:p>
        </w:tc>
      </w:tr>
      <w:tr w:rsidR="00FE6CCC" w14:paraId="38A01A36" w14:textId="77777777" w:rsidTr="00FE6CCC">
        <w:trPr>
          <w:trHeight w:val="422"/>
        </w:trPr>
        <w:tc>
          <w:tcPr>
            <w:tcW w:w="425" w:type="dxa"/>
          </w:tcPr>
          <w:p w14:paraId="629C28D7" w14:textId="77777777" w:rsidR="00FE6CCC" w:rsidRDefault="00FE6CCC" w:rsidP="00FE6CCC">
            <w:pPr>
              <w:pStyle w:val="TableParagraph"/>
              <w:rPr>
                <w:rFonts w:ascii="Times New Roman"/>
                <w:sz w:val="16"/>
              </w:rPr>
            </w:pPr>
          </w:p>
        </w:tc>
        <w:tc>
          <w:tcPr>
            <w:tcW w:w="425" w:type="dxa"/>
          </w:tcPr>
          <w:p w14:paraId="1BD7991F" w14:textId="77777777" w:rsidR="00FE6CCC" w:rsidRDefault="00FE6CCC" w:rsidP="00FE6CCC">
            <w:pPr>
              <w:pStyle w:val="TableParagraph"/>
              <w:rPr>
                <w:rFonts w:ascii="Times New Roman"/>
                <w:sz w:val="16"/>
              </w:rPr>
            </w:pPr>
          </w:p>
        </w:tc>
        <w:tc>
          <w:tcPr>
            <w:tcW w:w="425" w:type="dxa"/>
          </w:tcPr>
          <w:p w14:paraId="391A0C02" w14:textId="77777777" w:rsidR="00FE6CCC" w:rsidRDefault="00FE6CCC" w:rsidP="00FE6CCC">
            <w:pPr>
              <w:pStyle w:val="TableParagraph"/>
              <w:rPr>
                <w:rFonts w:ascii="Times New Roman"/>
                <w:sz w:val="16"/>
              </w:rPr>
            </w:pPr>
          </w:p>
        </w:tc>
        <w:tc>
          <w:tcPr>
            <w:tcW w:w="425" w:type="dxa"/>
          </w:tcPr>
          <w:p w14:paraId="374B8916" w14:textId="564E6566" w:rsidR="00FE6CCC" w:rsidRDefault="00FE6CCC" w:rsidP="00FE6CCC">
            <w:pPr>
              <w:pStyle w:val="TableParagraph"/>
              <w:rPr>
                <w:rFonts w:ascii="Times New Roman"/>
                <w:sz w:val="16"/>
              </w:rPr>
            </w:pPr>
          </w:p>
        </w:tc>
        <w:tc>
          <w:tcPr>
            <w:tcW w:w="424" w:type="dxa"/>
          </w:tcPr>
          <w:p w14:paraId="67D6DB18" w14:textId="77777777" w:rsidR="00FE6CCC" w:rsidRDefault="00FE6CCC" w:rsidP="00FE6CCC">
            <w:pPr>
              <w:pStyle w:val="TableParagraph"/>
              <w:rPr>
                <w:rFonts w:ascii="Times New Roman"/>
                <w:sz w:val="16"/>
              </w:rPr>
            </w:pPr>
          </w:p>
        </w:tc>
      </w:tr>
    </w:tbl>
    <w:tbl>
      <w:tblPr>
        <w:tblpPr w:leftFromText="180" w:rightFromText="180" w:vertAnchor="text" w:horzAnchor="page" w:tblpX="4388" w:tblpY="-585"/>
        <w:tblW w:w="0" w:type="auto"/>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25"/>
        <w:gridCol w:w="427"/>
        <w:gridCol w:w="425"/>
      </w:tblGrid>
      <w:tr w:rsidR="00C567E4" w14:paraId="329EA6D8" w14:textId="77777777" w:rsidTr="00C567E4">
        <w:trPr>
          <w:trHeight w:val="427"/>
        </w:trPr>
        <w:tc>
          <w:tcPr>
            <w:tcW w:w="1277" w:type="dxa"/>
            <w:gridSpan w:val="3"/>
          </w:tcPr>
          <w:p w14:paraId="5F78A6AA" w14:textId="77777777" w:rsidR="00C567E4" w:rsidRDefault="00C567E4" w:rsidP="00C567E4">
            <w:pPr>
              <w:pStyle w:val="TableParagraph"/>
              <w:spacing w:before="81"/>
              <w:ind w:left="352"/>
              <w:rPr>
                <w:sz w:val="20"/>
              </w:rPr>
            </w:pPr>
            <w:r>
              <w:rPr>
                <w:color w:val="5D5E5F"/>
                <w:spacing w:val="-2"/>
                <w:sz w:val="20"/>
              </w:rPr>
              <w:t>Initials</w:t>
            </w:r>
          </w:p>
        </w:tc>
      </w:tr>
      <w:tr w:rsidR="00C567E4" w14:paraId="6E75AF6F" w14:textId="77777777" w:rsidTr="00C567E4">
        <w:trPr>
          <w:trHeight w:val="429"/>
        </w:trPr>
        <w:tc>
          <w:tcPr>
            <w:tcW w:w="425" w:type="dxa"/>
          </w:tcPr>
          <w:p w14:paraId="0B737334" w14:textId="77777777" w:rsidR="00C567E4" w:rsidRDefault="00C567E4" w:rsidP="00C567E4">
            <w:pPr>
              <w:pStyle w:val="TableParagraph"/>
              <w:rPr>
                <w:rFonts w:ascii="Times New Roman"/>
                <w:sz w:val="16"/>
              </w:rPr>
            </w:pPr>
          </w:p>
        </w:tc>
        <w:tc>
          <w:tcPr>
            <w:tcW w:w="427" w:type="dxa"/>
          </w:tcPr>
          <w:p w14:paraId="67175759" w14:textId="77777777" w:rsidR="00C567E4" w:rsidRDefault="00C567E4" w:rsidP="00C567E4">
            <w:pPr>
              <w:pStyle w:val="TableParagraph"/>
              <w:rPr>
                <w:rFonts w:ascii="Times New Roman"/>
                <w:sz w:val="16"/>
              </w:rPr>
            </w:pPr>
          </w:p>
        </w:tc>
        <w:tc>
          <w:tcPr>
            <w:tcW w:w="425" w:type="dxa"/>
          </w:tcPr>
          <w:p w14:paraId="057ED9C9" w14:textId="77777777" w:rsidR="00C567E4" w:rsidRDefault="00C567E4" w:rsidP="00C567E4">
            <w:pPr>
              <w:pStyle w:val="TableParagraph"/>
              <w:rPr>
                <w:rFonts w:ascii="Times New Roman"/>
                <w:sz w:val="16"/>
              </w:rPr>
            </w:pPr>
          </w:p>
        </w:tc>
      </w:tr>
    </w:tbl>
    <w:p w14:paraId="22F9F703" w14:textId="1894D40C" w:rsidR="004D7F20" w:rsidRDefault="00C567E4">
      <w:r>
        <w:rPr>
          <w:noProof/>
        </w:rPr>
        <mc:AlternateContent>
          <mc:Choice Requires="wps">
            <w:drawing>
              <wp:anchor distT="0" distB="0" distL="114300" distR="114300" simplePos="0" relativeHeight="251658240" behindDoc="1" locked="0" layoutInCell="1" allowOverlap="1" wp14:anchorId="3276461F" wp14:editId="2D981264">
                <wp:simplePos x="0" y="0"/>
                <wp:positionH relativeFrom="column">
                  <wp:posOffset>1988185</wp:posOffset>
                </wp:positionH>
                <wp:positionV relativeFrom="paragraph">
                  <wp:posOffset>0</wp:posOffset>
                </wp:positionV>
                <wp:extent cx="813435" cy="553720"/>
                <wp:effectExtent l="0" t="0" r="0" b="0"/>
                <wp:wrapTight wrapText="bothSides">
                  <wp:wrapPolygon edited="0">
                    <wp:start x="0" y="0"/>
                    <wp:lineTo x="0" y="21600"/>
                    <wp:lineTo x="21600" y="21600"/>
                    <wp:lineTo x="21600" y="0"/>
                  </wp:wrapPolygon>
                </wp:wrapTight>
                <wp:docPr id="904761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553720"/>
                        </a:xfrm>
                        <a:prstGeom prst="rect">
                          <a:avLst/>
                        </a:prstGeom>
                      </wps:spPr>
                      <wps:txbx>
                        <w:txbxContent>
                          <w:p w14:paraId="2D906239" w14:textId="77777777" w:rsidR="00FE6CCC" w:rsidRDefault="00FE6CCC" w:rsidP="00FE6CCC">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76461F" id="_x0000_t202" coordsize="21600,21600" o:spt="202" path="m,l,21600r21600,l21600,xe">
                <v:stroke joinstyle="miter"/>
                <v:path gradientshapeok="t" o:connecttype="rect"/>
              </v:shapetype>
              <v:shape id="Text Box 1" o:spid="_x0000_s1026" type="#_x0000_t202" style="position:absolute;margin-left:156.55pt;margin-top:0;width:64.05pt;height:4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" filled="f" stroked="f">
                <v:textbox inset="0,0,0,0">
                  <w:txbxContent>
                    <w:p w14:paraId="2D906239" w14:textId="77777777" w:rsidR="00FE6CCC" w:rsidRDefault="00FE6CCC" w:rsidP="00FE6CCC">
                      <w:pPr>
                        <w:pStyle w:val="BodyText"/>
                      </w:pPr>
                    </w:p>
                  </w:txbxContent>
                </v:textbox>
                <w10:wrap type="tight"/>
              </v:shape>
            </w:pict>
          </mc:Fallback>
        </mc:AlternateContent>
      </w:r>
    </w:p>
    <w:p w14:paraId="09FA4642" w14:textId="77777777" w:rsidR="00FE6CCC" w:rsidRDefault="00FE6CCC" w:rsidP="004D7F20">
      <w:pPr>
        <w:jc w:val="center"/>
        <w:rPr>
          <w:b/>
          <w:bCs/>
          <w:sz w:val="28"/>
          <w:szCs w:val="28"/>
        </w:rPr>
      </w:pPr>
    </w:p>
    <w:p w14:paraId="572359FB" w14:textId="506DEEC4" w:rsidR="004D7F20" w:rsidRDefault="004D7F20" w:rsidP="004D7F20">
      <w:pPr>
        <w:jc w:val="center"/>
        <w:rPr>
          <w:sz w:val="24"/>
          <w:szCs w:val="24"/>
        </w:rPr>
      </w:pPr>
      <w:r>
        <w:rPr>
          <w:b/>
          <w:bCs/>
          <w:sz w:val="28"/>
          <w:szCs w:val="28"/>
        </w:rPr>
        <w:t xml:space="preserve">SOPHIST </w:t>
      </w:r>
      <w:r w:rsidR="00FE6CCC">
        <w:rPr>
          <w:b/>
          <w:bCs/>
          <w:sz w:val="28"/>
          <w:szCs w:val="28"/>
        </w:rPr>
        <w:t xml:space="preserve">Participant </w:t>
      </w:r>
      <w:r>
        <w:rPr>
          <w:b/>
          <w:bCs/>
          <w:sz w:val="28"/>
          <w:szCs w:val="28"/>
        </w:rPr>
        <w:t>Eligibility</w:t>
      </w:r>
      <w:r w:rsidR="00FE6CCC">
        <w:rPr>
          <w:b/>
          <w:bCs/>
          <w:sz w:val="28"/>
          <w:szCs w:val="28"/>
        </w:rPr>
        <w:t xml:space="preserve"> </w:t>
      </w:r>
      <w:r>
        <w:rPr>
          <w:b/>
          <w:bCs/>
          <w:sz w:val="28"/>
          <w:szCs w:val="28"/>
        </w:rPr>
        <w:t>Form</w:t>
      </w:r>
    </w:p>
    <w:tbl>
      <w:tblPr>
        <w:tblStyle w:val="TableGrid"/>
        <w:tblW w:w="0" w:type="auto"/>
        <w:tblLook w:val="04A0" w:firstRow="1" w:lastRow="0" w:firstColumn="1" w:lastColumn="0" w:noHBand="0" w:noVBand="1"/>
      </w:tblPr>
      <w:tblGrid>
        <w:gridCol w:w="7432"/>
        <w:gridCol w:w="830"/>
        <w:gridCol w:w="754"/>
      </w:tblGrid>
      <w:tr w:rsidR="004D7F20" w14:paraId="5CFD8F2A" w14:textId="77777777" w:rsidTr="00551399">
        <w:tc>
          <w:tcPr>
            <w:tcW w:w="7432" w:type="dxa"/>
          </w:tcPr>
          <w:p w14:paraId="59233FA9" w14:textId="77777777" w:rsidR="004D7F20" w:rsidRDefault="00BB508C" w:rsidP="00673B2D">
            <w:pPr>
              <w:rPr>
                <w:b/>
                <w:bCs/>
                <w:sz w:val="24"/>
                <w:szCs w:val="24"/>
              </w:rPr>
            </w:pPr>
            <w:r>
              <w:rPr>
                <w:b/>
                <w:bCs/>
                <w:sz w:val="24"/>
                <w:szCs w:val="24"/>
              </w:rPr>
              <w:t xml:space="preserve">Eligibility </w:t>
            </w:r>
            <w:r w:rsidR="004D7F20">
              <w:rPr>
                <w:b/>
                <w:bCs/>
                <w:sz w:val="24"/>
                <w:szCs w:val="24"/>
              </w:rPr>
              <w:t>Criteria</w:t>
            </w:r>
          </w:p>
          <w:p w14:paraId="62718001" w14:textId="384E2BBC" w:rsidR="00673B2D" w:rsidRPr="004D7F20" w:rsidRDefault="00673B2D" w:rsidP="00673B2D">
            <w:pPr>
              <w:rPr>
                <w:b/>
                <w:bCs/>
                <w:sz w:val="24"/>
                <w:szCs w:val="24"/>
              </w:rPr>
            </w:pPr>
            <w:r>
              <w:t>Patients are potentially eligible for SOPHIST if they have either a previous confirmed diagnosis of heart failure or undiagnosed heart failure. In recognition of this, we have included criteria to help identify those at higher risk of having undiagnosed heart failure who could be invited for screening</w:t>
            </w:r>
          </w:p>
        </w:tc>
        <w:tc>
          <w:tcPr>
            <w:tcW w:w="830" w:type="dxa"/>
          </w:tcPr>
          <w:p w14:paraId="374893C2" w14:textId="2D51B445" w:rsidR="004D7F20" w:rsidRPr="004D7F20" w:rsidRDefault="004D7F20" w:rsidP="004D7F20">
            <w:pPr>
              <w:jc w:val="center"/>
              <w:rPr>
                <w:b/>
                <w:bCs/>
                <w:sz w:val="24"/>
                <w:szCs w:val="24"/>
              </w:rPr>
            </w:pPr>
            <w:r>
              <w:rPr>
                <w:b/>
                <w:bCs/>
                <w:sz w:val="24"/>
                <w:szCs w:val="24"/>
              </w:rPr>
              <w:t>Y</w:t>
            </w:r>
          </w:p>
        </w:tc>
        <w:tc>
          <w:tcPr>
            <w:tcW w:w="754" w:type="dxa"/>
          </w:tcPr>
          <w:p w14:paraId="76595ACE" w14:textId="327D7609" w:rsidR="004D7F20" w:rsidRPr="004D7F20" w:rsidRDefault="004D7F20" w:rsidP="004D7F20">
            <w:pPr>
              <w:jc w:val="center"/>
              <w:rPr>
                <w:b/>
                <w:bCs/>
                <w:sz w:val="24"/>
                <w:szCs w:val="24"/>
              </w:rPr>
            </w:pPr>
            <w:r>
              <w:rPr>
                <w:b/>
                <w:bCs/>
                <w:sz w:val="24"/>
                <w:szCs w:val="24"/>
              </w:rPr>
              <w:t>N</w:t>
            </w:r>
          </w:p>
        </w:tc>
      </w:tr>
      <w:tr w:rsidR="00551399" w14:paraId="5ADB3066" w14:textId="77777777">
        <w:tc>
          <w:tcPr>
            <w:tcW w:w="9016" w:type="dxa"/>
            <w:gridSpan w:val="3"/>
          </w:tcPr>
          <w:p w14:paraId="06D95694" w14:textId="6CE68682" w:rsidR="00551399" w:rsidRDefault="00CA1627" w:rsidP="00551399">
            <w:pPr>
              <w:rPr>
                <w:b/>
                <w:bCs/>
                <w:sz w:val="24"/>
                <w:szCs w:val="24"/>
              </w:rPr>
            </w:pPr>
            <w:r>
              <w:rPr>
                <w:b/>
                <w:bCs/>
                <w:sz w:val="24"/>
                <w:szCs w:val="24"/>
              </w:rPr>
              <w:t xml:space="preserve">Screening </w:t>
            </w:r>
            <w:r w:rsidR="005D517D">
              <w:rPr>
                <w:b/>
                <w:bCs/>
                <w:sz w:val="24"/>
                <w:szCs w:val="24"/>
              </w:rPr>
              <w:t>Visit Eligibility</w:t>
            </w:r>
            <w:r w:rsidR="00551399">
              <w:rPr>
                <w:b/>
                <w:bCs/>
                <w:sz w:val="24"/>
                <w:szCs w:val="24"/>
              </w:rPr>
              <w:t xml:space="preserve"> Criteria</w:t>
            </w:r>
          </w:p>
        </w:tc>
      </w:tr>
      <w:tr w:rsidR="004D7F20" w14:paraId="07D6560C" w14:textId="77777777" w:rsidTr="00551399">
        <w:tc>
          <w:tcPr>
            <w:tcW w:w="7432" w:type="dxa"/>
          </w:tcPr>
          <w:p w14:paraId="066A21B1" w14:textId="36A11CBF" w:rsidR="004D7F20" w:rsidRPr="00A85586" w:rsidRDefault="004D7F20" w:rsidP="00A85586">
            <w:pPr>
              <w:pStyle w:val="ListParagraph"/>
              <w:numPr>
                <w:ilvl w:val="0"/>
                <w:numId w:val="3"/>
              </w:numPr>
              <w:rPr>
                <w:sz w:val="24"/>
                <w:szCs w:val="24"/>
              </w:rPr>
            </w:pPr>
            <w:r w:rsidRPr="00A85586">
              <w:rPr>
                <w:sz w:val="24"/>
                <w:szCs w:val="24"/>
              </w:rPr>
              <w:t>Age 18 years to &lt;85 years</w:t>
            </w:r>
          </w:p>
        </w:tc>
        <w:tc>
          <w:tcPr>
            <w:tcW w:w="830" w:type="dxa"/>
          </w:tcPr>
          <w:p w14:paraId="309B3834" w14:textId="77777777" w:rsidR="004D7F20" w:rsidRDefault="004D7F20" w:rsidP="004D7F20">
            <w:pPr>
              <w:jc w:val="center"/>
              <w:rPr>
                <w:sz w:val="24"/>
                <w:szCs w:val="24"/>
              </w:rPr>
            </w:pPr>
          </w:p>
        </w:tc>
        <w:tc>
          <w:tcPr>
            <w:tcW w:w="754" w:type="dxa"/>
          </w:tcPr>
          <w:p w14:paraId="4DC7DF82" w14:textId="77777777" w:rsidR="004D7F20" w:rsidRDefault="004D7F20" w:rsidP="004D7F20">
            <w:pPr>
              <w:jc w:val="center"/>
              <w:rPr>
                <w:sz w:val="24"/>
                <w:szCs w:val="24"/>
              </w:rPr>
            </w:pPr>
          </w:p>
        </w:tc>
      </w:tr>
      <w:tr w:rsidR="004D7F20" w14:paraId="336A549D" w14:textId="77777777" w:rsidTr="00551399">
        <w:tc>
          <w:tcPr>
            <w:tcW w:w="7432" w:type="dxa"/>
          </w:tcPr>
          <w:p w14:paraId="44AFB957" w14:textId="16CD3E36" w:rsidR="004D7F20" w:rsidRPr="00A85586" w:rsidRDefault="004D7F20" w:rsidP="00A85586">
            <w:pPr>
              <w:pStyle w:val="ListParagraph"/>
              <w:numPr>
                <w:ilvl w:val="0"/>
                <w:numId w:val="3"/>
              </w:numPr>
              <w:rPr>
                <w:sz w:val="24"/>
                <w:szCs w:val="24"/>
              </w:rPr>
            </w:pPr>
            <w:r w:rsidRPr="00A85586">
              <w:rPr>
                <w:sz w:val="24"/>
                <w:szCs w:val="24"/>
              </w:rPr>
              <w:t>Type 1 Diabetes</w:t>
            </w:r>
          </w:p>
        </w:tc>
        <w:tc>
          <w:tcPr>
            <w:tcW w:w="830" w:type="dxa"/>
          </w:tcPr>
          <w:p w14:paraId="2466142D" w14:textId="77777777" w:rsidR="004D7F20" w:rsidRDefault="004D7F20" w:rsidP="004D7F20">
            <w:pPr>
              <w:jc w:val="center"/>
              <w:rPr>
                <w:sz w:val="24"/>
                <w:szCs w:val="24"/>
              </w:rPr>
            </w:pPr>
          </w:p>
        </w:tc>
        <w:tc>
          <w:tcPr>
            <w:tcW w:w="754" w:type="dxa"/>
          </w:tcPr>
          <w:p w14:paraId="7B20C674" w14:textId="77777777" w:rsidR="004D7F20" w:rsidRDefault="004D7F20" w:rsidP="004D7F20">
            <w:pPr>
              <w:jc w:val="center"/>
              <w:rPr>
                <w:sz w:val="24"/>
                <w:szCs w:val="24"/>
              </w:rPr>
            </w:pPr>
          </w:p>
        </w:tc>
      </w:tr>
      <w:tr w:rsidR="004D7F20" w14:paraId="244DD076" w14:textId="77777777" w:rsidTr="00681E40">
        <w:trPr>
          <w:trHeight w:val="7133"/>
        </w:trPr>
        <w:tc>
          <w:tcPr>
            <w:tcW w:w="7432" w:type="dxa"/>
          </w:tcPr>
          <w:p w14:paraId="041584F8" w14:textId="2CDEA4D1" w:rsidR="00893579" w:rsidRPr="00A85586" w:rsidRDefault="00A85586" w:rsidP="00A85586">
            <w:pPr>
              <w:pStyle w:val="ListParagraph"/>
              <w:numPr>
                <w:ilvl w:val="0"/>
                <w:numId w:val="3"/>
              </w:numPr>
              <w:rPr>
                <w:sz w:val="24"/>
                <w:szCs w:val="24"/>
              </w:rPr>
            </w:pPr>
            <w:r>
              <w:rPr>
                <w:sz w:val="24"/>
                <w:szCs w:val="24"/>
              </w:rPr>
              <w:t xml:space="preserve"> </w:t>
            </w:r>
            <w:r w:rsidR="00C870AF" w:rsidRPr="00A85586">
              <w:rPr>
                <w:sz w:val="24"/>
                <w:szCs w:val="24"/>
              </w:rPr>
              <w:t xml:space="preserve">Meets the </w:t>
            </w:r>
            <w:proofErr w:type="spellStart"/>
            <w:r w:rsidR="00C870AF" w:rsidRPr="00A85586">
              <w:rPr>
                <w:sz w:val="24"/>
                <w:szCs w:val="24"/>
              </w:rPr>
              <w:t>NTproBNP</w:t>
            </w:r>
            <w:proofErr w:type="spellEnd"/>
            <w:r w:rsidR="00C870AF" w:rsidRPr="00A85586">
              <w:rPr>
                <w:sz w:val="24"/>
                <w:szCs w:val="24"/>
              </w:rPr>
              <w:t xml:space="preserve"> or echocardiographic randomisation inclusion criteria below </w:t>
            </w:r>
          </w:p>
          <w:p w14:paraId="7386C0D1" w14:textId="77777777" w:rsidR="00893579" w:rsidRDefault="00C870AF" w:rsidP="00F9249E">
            <w:pPr>
              <w:rPr>
                <w:sz w:val="24"/>
                <w:szCs w:val="24"/>
              </w:rPr>
            </w:pPr>
            <w:r w:rsidRPr="00C870AF">
              <w:rPr>
                <w:sz w:val="24"/>
                <w:szCs w:val="24"/>
              </w:rPr>
              <w:t>OR</w:t>
            </w:r>
          </w:p>
          <w:p w14:paraId="6A43243F" w14:textId="139FFE80" w:rsidR="00F9341F" w:rsidRDefault="00C870AF" w:rsidP="00F9249E">
            <w:pPr>
              <w:rPr>
                <w:sz w:val="24"/>
                <w:szCs w:val="24"/>
              </w:rPr>
            </w:pPr>
            <w:r w:rsidRPr="00C870AF">
              <w:rPr>
                <w:sz w:val="24"/>
                <w:szCs w:val="24"/>
              </w:rPr>
              <w:t xml:space="preserve">Any of the following: </w:t>
            </w:r>
          </w:p>
          <w:p w14:paraId="43780680" w14:textId="77777777" w:rsidR="003D6822" w:rsidRDefault="00C870AF" w:rsidP="00F9249E">
            <w:pPr>
              <w:rPr>
                <w:sz w:val="24"/>
                <w:szCs w:val="24"/>
              </w:rPr>
            </w:pPr>
            <w:r w:rsidRPr="00C870AF">
              <w:rPr>
                <w:sz w:val="24"/>
                <w:szCs w:val="24"/>
              </w:rPr>
              <w:t xml:space="preserve">• Type 1 diabetes for &gt;25 years and &gt;40 years old </w:t>
            </w:r>
          </w:p>
          <w:p w14:paraId="21CA463B" w14:textId="1D93A044" w:rsidR="00F9341F" w:rsidRDefault="00C870AF" w:rsidP="00F9249E">
            <w:pPr>
              <w:rPr>
                <w:sz w:val="24"/>
                <w:szCs w:val="24"/>
              </w:rPr>
            </w:pPr>
            <w:r w:rsidRPr="00C870AF">
              <w:rPr>
                <w:sz w:val="24"/>
                <w:szCs w:val="24"/>
              </w:rPr>
              <w:t xml:space="preserve">or </w:t>
            </w:r>
          </w:p>
          <w:p w14:paraId="25965B73" w14:textId="77777777" w:rsidR="00935831" w:rsidRDefault="00C870AF" w:rsidP="00F9249E">
            <w:pPr>
              <w:rPr>
                <w:sz w:val="24"/>
                <w:szCs w:val="24"/>
              </w:rPr>
            </w:pPr>
            <w:r w:rsidRPr="00C870AF">
              <w:rPr>
                <w:sz w:val="24"/>
                <w:szCs w:val="24"/>
              </w:rPr>
              <w:t xml:space="preserve">• History of any cardiac disease, for example but not limited to: </w:t>
            </w:r>
          </w:p>
          <w:p w14:paraId="513C634F" w14:textId="0C980211" w:rsidR="00935831" w:rsidRDefault="00935831" w:rsidP="00F9249E">
            <w:pPr>
              <w:rPr>
                <w:sz w:val="24"/>
                <w:szCs w:val="24"/>
              </w:rPr>
            </w:pPr>
            <w:r>
              <w:rPr>
                <w:sz w:val="24"/>
                <w:szCs w:val="24"/>
              </w:rPr>
              <w:t xml:space="preserve">   </w:t>
            </w:r>
            <w:r w:rsidR="00C870AF" w:rsidRPr="00C870AF">
              <w:rPr>
                <w:sz w:val="24"/>
                <w:szCs w:val="24"/>
              </w:rPr>
              <w:t xml:space="preserve">o Hypertension, cardiac arrhythmia, myocardial infarction, angina, </w:t>
            </w:r>
          </w:p>
          <w:p w14:paraId="48FE9D9A" w14:textId="77777777" w:rsidR="003D6822" w:rsidRDefault="00935831" w:rsidP="00F9249E">
            <w:pPr>
              <w:rPr>
                <w:sz w:val="24"/>
                <w:szCs w:val="24"/>
              </w:rPr>
            </w:pPr>
            <w:r>
              <w:rPr>
                <w:sz w:val="24"/>
                <w:szCs w:val="24"/>
              </w:rPr>
              <w:t xml:space="preserve">      </w:t>
            </w:r>
            <w:r w:rsidR="00C870AF" w:rsidRPr="00C870AF">
              <w:rPr>
                <w:sz w:val="24"/>
                <w:szCs w:val="24"/>
              </w:rPr>
              <w:t xml:space="preserve">hyperlipidaemia </w:t>
            </w:r>
          </w:p>
          <w:p w14:paraId="3D932215" w14:textId="6E9E465F" w:rsidR="004D7F20" w:rsidRDefault="00C870AF" w:rsidP="00F9249E">
            <w:pPr>
              <w:rPr>
                <w:sz w:val="24"/>
                <w:szCs w:val="24"/>
              </w:rPr>
            </w:pPr>
            <w:r w:rsidRPr="00C870AF">
              <w:rPr>
                <w:sz w:val="24"/>
                <w:szCs w:val="24"/>
              </w:rPr>
              <w:t>or</w:t>
            </w:r>
          </w:p>
          <w:p w14:paraId="06EFB194" w14:textId="77777777" w:rsidR="00E401C9" w:rsidRDefault="00935831" w:rsidP="00F9249E">
            <w:pPr>
              <w:rPr>
                <w:sz w:val="24"/>
                <w:szCs w:val="24"/>
              </w:rPr>
            </w:pPr>
            <w:r w:rsidRPr="00935831">
              <w:rPr>
                <w:sz w:val="24"/>
                <w:szCs w:val="24"/>
              </w:rPr>
              <w:t xml:space="preserve">• History of any vascular disease, for example but not limited to: </w:t>
            </w:r>
          </w:p>
          <w:p w14:paraId="452FCF22" w14:textId="77777777" w:rsidR="00E401C9" w:rsidRDefault="00E401C9" w:rsidP="00F9249E">
            <w:pPr>
              <w:rPr>
                <w:sz w:val="24"/>
                <w:szCs w:val="24"/>
              </w:rPr>
            </w:pPr>
            <w:r>
              <w:rPr>
                <w:sz w:val="24"/>
                <w:szCs w:val="24"/>
              </w:rPr>
              <w:t xml:space="preserve">   </w:t>
            </w:r>
            <w:r w:rsidR="00935831" w:rsidRPr="00935831">
              <w:rPr>
                <w:sz w:val="24"/>
                <w:szCs w:val="24"/>
              </w:rPr>
              <w:t xml:space="preserve">o Stroke, transient ischaemic attack, peripheral vascular disease, </w:t>
            </w:r>
            <w:r>
              <w:rPr>
                <w:sz w:val="24"/>
                <w:szCs w:val="24"/>
              </w:rPr>
              <w:t xml:space="preserve"> </w:t>
            </w:r>
          </w:p>
          <w:p w14:paraId="39384EB1" w14:textId="74C31E4F" w:rsidR="003D6822" w:rsidRDefault="00E401C9" w:rsidP="00F9249E">
            <w:pPr>
              <w:rPr>
                <w:sz w:val="24"/>
                <w:szCs w:val="24"/>
              </w:rPr>
            </w:pPr>
            <w:r>
              <w:rPr>
                <w:sz w:val="24"/>
                <w:szCs w:val="24"/>
              </w:rPr>
              <w:t xml:space="preserve">      </w:t>
            </w:r>
            <w:r w:rsidR="00935831" w:rsidRPr="00935831">
              <w:rPr>
                <w:sz w:val="24"/>
                <w:szCs w:val="24"/>
              </w:rPr>
              <w:t xml:space="preserve">diabetic foot disease, vascular ulcer </w:t>
            </w:r>
          </w:p>
          <w:p w14:paraId="75EC7400" w14:textId="6AF0F6C8" w:rsidR="00935831" w:rsidRDefault="00935831" w:rsidP="00F9249E">
            <w:pPr>
              <w:rPr>
                <w:sz w:val="24"/>
                <w:szCs w:val="24"/>
              </w:rPr>
            </w:pPr>
            <w:r w:rsidRPr="00935831">
              <w:rPr>
                <w:sz w:val="24"/>
                <w:szCs w:val="24"/>
              </w:rPr>
              <w:t xml:space="preserve">or </w:t>
            </w:r>
          </w:p>
          <w:p w14:paraId="015FD545" w14:textId="77777777" w:rsidR="003D6822" w:rsidRDefault="00935831" w:rsidP="00F9249E">
            <w:pPr>
              <w:rPr>
                <w:sz w:val="24"/>
                <w:szCs w:val="24"/>
              </w:rPr>
            </w:pPr>
            <w:r w:rsidRPr="00935831">
              <w:rPr>
                <w:sz w:val="24"/>
                <w:szCs w:val="24"/>
              </w:rPr>
              <w:t xml:space="preserve">• History of diabetic retinopathy </w:t>
            </w:r>
          </w:p>
          <w:p w14:paraId="0E5B5032" w14:textId="402FB5D7" w:rsidR="00935831" w:rsidRDefault="00935831" w:rsidP="00F9249E">
            <w:pPr>
              <w:rPr>
                <w:sz w:val="24"/>
                <w:szCs w:val="24"/>
              </w:rPr>
            </w:pPr>
            <w:r w:rsidRPr="00935831">
              <w:rPr>
                <w:sz w:val="24"/>
                <w:szCs w:val="24"/>
              </w:rPr>
              <w:t xml:space="preserve">or </w:t>
            </w:r>
          </w:p>
          <w:p w14:paraId="52B38908" w14:textId="77777777" w:rsidR="00935831" w:rsidRDefault="00935831" w:rsidP="00F9249E">
            <w:pPr>
              <w:rPr>
                <w:sz w:val="24"/>
                <w:szCs w:val="24"/>
              </w:rPr>
            </w:pPr>
            <w:r w:rsidRPr="00935831">
              <w:rPr>
                <w:sz w:val="24"/>
                <w:szCs w:val="24"/>
              </w:rPr>
              <w:t xml:space="preserve">• History of renal disease, for example but not limited to: </w:t>
            </w:r>
          </w:p>
          <w:p w14:paraId="1FE2A97F" w14:textId="77777777" w:rsidR="003D6822" w:rsidRDefault="00935831" w:rsidP="00F9249E">
            <w:pPr>
              <w:rPr>
                <w:sz w:val="24"/>
                <w:szCs w:val="24"/>
              </w:rPr>
            </w:pPr>
            <w:r>
              <w:rPr>
                <w:sz w:val="24"/>
                <w:szCs w:val="24"/>
              </w:rPr>
              <w:t xml:space="preserve">   </w:t>
            </w:r>
            <w:r w:rsidRPr="00935831">
              <w:rPr>
                <w:sz w:val="24"/>
                <w:szCs w:val="24"/>
              </w:rPr>
              <w:t xml:space="preserve">o Microalbuminuria (urine albumin/creatinine ratio ≥ 3 mg/mmol) </w:t>
            </w:r>
          </w:p>
          <w:p w14:paraId="74448CC8" w14:textId="54857B93" w:rsidR="00935831" w:rsidRDefault="00935831" w:rsidP="00F9249E">
            <w:pPr>
              <w:rPr>
                <w:sz w:val="24"/>
                <w:szCs w:val="24"/>
              </w:rPr>
            </w:pPr>
            <w:r w:rsidRPr="00935831">
              <w:rPr>
                <w:sz w:val="24"/>
                <w:szCs w:val="24"/>
              </w:rPr>
              <w:t xml:space="preserve">or </w:t>
            </w:r>
          </w:p>
          <w:p w14:paraId="00EF5A6B" w14:textId="77777777" w:rsidR="003D6822" w:rsidRDefault="00935831" w:rsidP="00F9249E">
            <w:pPr>
              <w:rPr>
                <w:sz w:val="24"/>
                <w:szCs w:val="24"/>
              </w:rPr>
            </w:pPr>
            <w:r w:rsidRPr="00935831">
              <w:rPr>
                <w:sz w:val="24"/>
                <w:szCs w:val="24"/>
              </w:rPr>
              <w:t xml:space="preserve">• Taking medications for any of the above, for example but not limited to: </w:t>
            </w:r>
            <w:r w:rsidR="003D6822">
              <w:rPr>
                <w:sz w:val="24"/>
                <w:szCs w:val="24"/>
              </w:rPr>
              <w:t xml:space="preserve"> </w:t>
            </w:r>
          </w:p>
          <w:p w14:paraId="34536C76" w14:textId="77777777" w:rsidR="003D6822" w:rsidRDefault="003D6822" w:rsidP="00F9249E">
            <w:pPr>
              <w:rPr>
                <w:sz w:val="24"/>
                <w:szCs w:val="24"/>
              </w:rPr>
            </w:pPr>
            <w:r>
              <w:rPr>
                <w:sz w:val="24"/>
                <w:szCs w:val="24"/>
              </w:rPr>
              <w:t xml:space="preserve">    </w:t>
            </w:r>
            <w:r w:rsidR="00935831" w:rsidRPr="00935831">
              <w:rPr>
                <w:sz w:val="24"/>
                <w:szCs w:val="24"/>
              </w:rPr>
              <w:t xml:space="preserve">o Angiotensin converting enzyme inhibitors (ACE), angiotensin receptor </w:t>
            </w:r>
          </w:p>
          <w:p w14:paraId="453C6266" w14:textId="77777777" w:rsidR="003D6822" w:rsidRDefault="003D6822" w:rsidP="00F9249E">
            <w:pPr>
              <w:rPr>
                <w:sz w:val="24"/>
                <w:szCs w:val="24"/>
              </w:rPr>
            </w:pPr>
            <w:r>
              <w:rPr>
                <w:sz w:val="24"/>
                <w:szCs w:val="24"/>
              </w:rPr>
              <w:t xml:space="preserve">       </w:t>
            </w:r>
            <w:r w:rsidR="00935831" w:rsidRPr="00935831">
              <w:rPr>
                <w:sz w:val="24"/>
                <w:szCs w:val="24"/>
              </w:rPr>
              <w:t xml:space="preserve">blockers (ARB), betablockers, calcium channel blockers, loop diuretics, </w:t>
            </w:r>
          </w:p>
          <w:p w14:paraId="2A60170D" w14:textId="77777777" w:rsidR="003D6822" w:rsidRDefault="003D6822" w:rsidP="00F9249E">
            <w:pPr>
              <w:rPr>
                <w:sz w:val="24"/>
                <w:szCs w:val="24"/>
              </w:rPr>
            </w:pPr>
            <w:r>
              <w:rPr>
                <w:sz w:val="24"/>
                <w:szCs w:val="24"/>
              </w:rPr>
              <w:t xml:space="preserve">       </w:t>
            </w:r>
            <w:r w:rsidR="00935831" w:rsidRPr="00935831">
              <w:rPr>
                <w:sz w:val="24"/>
                <w:szCs w:val="24"/>
              </w:rPr>
              <w:t xml:space="preserve">thiazides, mineralocorticoid receptor antagonists, antiplatelets, </w:t>
            </w:r>
          </w:p>
          <w:p w14:paraId="327456BE" w14:textId="7BC38F33" w:rsidR="00F9341F" w:rsidRDefault="003D6822" w:rsidP="00F9249E">
            <w:pPr>
              <w:rPr>
                <w:sz w:val="24"/>
                <w:szCs w:val="24"/>
              </w:rPr>
            </w:pPr>
            <w:r>
              <w:rPr>
                <w:sz w:val="24"/>
                <w:szCs w:val="24"/>
              </w:rPr>
              <w:t xml:space="preserve">       </w:t>
            </w:r>
            <w:r w:rsidR="00935831" w:rsidRPr="00935831">
              <w:rPr>
                <w:sz w:val="24"/>
                <w:szCs w:val="24"/>
              </w:rPr>
              <w:t>anticoagulants</w:t>
            </w:r>
          </w:p>
        </w:tc>
        <w:tc>
          <w:tcPr>
            <w:tcW w:w="830" w:type="dxa"/>
          </w:tcPr>
          <w:p w14:paraId="3430985B" w14:textId="77777777" w:rsidR="004D7F20" w:rsidRDefault="004D7F20" w:rsidP="004D7F20">
            <w:pPr>
              <w:jc w:val="center"/>
              <w:rPr>
                <w:sz w:val="24"/>
                <w:szCs w:val="24"/>
              </w:rPr>
            </w:pPr>
          </w:p>
        </w:tc>
        <w:tc>
          <w:tcPr>
            <w:tcW w:w="754" w:type="dxa"/>
          </w:tcPr>
          <w:p w14:paraId="4751B306" w14:textId="77777777" w:rsidR="004D7F20" w:rsidRDefault="004D7F20" w:rsidP="004D7F20">
            <w:pPr>
              <w:jc w:val="center"/>
              <w:rPr>
                <w:sz w:val="24"/>
                <w:szCs w:val="24"/>
              </w:rPr>
            </w:pPr>
          </w:p>
        </w:tc>
      </w:tr>
      <w:tr w:rsidR="00681E40" w14:paraId="30983163" w14:textId="77777777" w:rsidTr="00551399">
        <w:tc>
          <w:tcPr>
            <w:tcW w:w="7432" w:type="dxa"/>
          </w:tcPr>
          <w:p w14:paraId="1E7CA61D" w14:textId="0AB827AD" w:rsidR="00681E40" w:rsidRPr="004D7F20" w:rsidRDefault="00D36C29" w:rsidP="00681E40">
            <w:pPr>
              <w:rPr>
                <w:sz w:val="24"/>
                <w:szCs w:val="24"/>
              </w:rPr>
            </w:pPr>
            <w:r>
              <w:rPr>
                <w:b/>
                <w:bCs/>
                <w:sz w:val="24"/>
                <w:szCs w:val="24"/>
              </w:rPr>
              <w:t>Randomisation</w:t>
            </w:r>
            <w:r w:rsidR="00681E40">
              <w:rPr>
                <w:b/>
                <w:bCs/>
                <w:sz w:val="24"/>
                <w:szCs w:val="24"/>
              </w:rPr>
              <w:t xml:space="preserve"> Inclusion Criteria</w:t>
            </w:r>
          </w:p>
        </w:tc>
        <w:tc>
          <w:tcPr>
            <w:tcW w:w="830" w:type="dxa"/>
          </w:tcPr>
          <w:p w14:paraId="2EFD5BF6" w14:textId="77777777" w:rsidR="00681E40" w:rsidRDefault="00681E40" w:rsidP="00681E40">
            <w:pPr>
              <w:jc w:val="center"/>
              <w:rPr>
                <w:sz w:val="24"/>
                <w:szCs w:val="24"/>
              </w:rPr>
            </w:pPr>
          </w:p>
        </w:tc>
        <w:tc>
          <w:tcPr>
            <w:tcW w:w="754" w:type="dxa"/>
          </w:tcPr>
          <w:p w14:paraId="48BDB366" w14:textId="77777777" w:rsidR="00681E40" w:rsidRDefault="00681E40" w:rsidP="00681E40">
            <w:pPr>
              <w:jc w:val="center"/>
              <w:rPr>
                <w:sz w:val="24"/>
                <w:szCs w:val="24"/>
              </w:rPr>
            </w:pPr>
          </w:p>
        </w:tc>
      </w:tr>
      <w:tr w:rsidR="00681E40" w14:paraId="568D4F85" w14:textId="77777777" w:rsidTr="00551399">
        <w:tc>
          <w:tcPr>
            <w:tcW w:w="7432" w:type="dxa"/>
          </w:tcPr>
          <w:p w14:paraId="1E5CD16F" w14:textId="09E1E805" w:rsidR="00681E40" w:rsidRPr="00A85586" w:rsidRDefault="00681E40" w:rsidP="00A85586">
            <w:pPr>
              <w:pStyle w:val="ListParagraph"/>
              <w:numPr>
                <w:ilvl w:val="0"/>
                <w:numId w:val="4"/>
              </w:numPr>
              <w:rPr>
                <w:sz w:val="24"/>
                <w:szCs w:val="24"/>
              </w:rPr>
            </w:pPr>
            <w:r w:rsidRPr="00A85586">
              <w:rPr>
                <w:sz w:val="24"/>
                <w:szCs w:val="24"/>
              </w:rPr>
              <w:t>Age 18 years to &lt;85 years</w:t>
            </w:r>
          </w:p>
        </w:tc>
        <w:tc>
          <w:tcPr>
            <w:tcW w:w="830" w:type="dxa"/>
          </w:tcPr>
          <w:p w14:paraId="69DB43B2" w14:textId="77777777" w:rsidR="00681E40" w:rsidRDefault="00681E40" w:rsidP="00681E40">
            <w:pPr>
              <w:jc w:val="center"/>
              <w:rPr>
                <w:sz w:val="24"/>
                <w:szCs w:val="24"/>
              </w:rPr>
            </w:pPr>
          </w:p>
        </w:tc>
        <w:tc>
          <w:tcPr>
            <w:tcW w:w="754" w:type="dxa"/>
          </w:tcPr>
          <w:p w14:paraId="1BC10298" w14:textId="77777777" w:rsidR="00681E40" w:rsidRDefault="00681E40" w:rsidP="00681E40">
            <w:pPr>
              <w:jc w:val="center"/>
              <w:rPr>
                <w:sz w:val="24"/>
                <w:szCs w:val="24"/>
              </w:rPr>
            </w:pPr>
          </w:p>
        </w:tc>
      </w:tr>
      <w:tr w:rsidR="00681E40" w14:paraId="286B54E0" w14:textId="77777777" w:rsidTr="00551399">
        <w:tc>
          <w:tcPr>
            <w:tcW w:w="7432" w:type="dxa"/>
          </w:tcPr>
          <w:p w14:paraId="1D09A606" w14:textId="3A8EBB25" w:rsidR="00681E40" w:rsidRPr="00A85586" w:rsidRDefault="00681E40" w:rsidP="00A85586">
            <w:pPr>
              <w:pStyle w:val="ListParagraph"/>
              <w:numPr>
                <w:ilvl w:val="0"/>
                <w:numId w:val="4"/>
              </w:numPr>
              <w:rPr>
                <w:sz w:val="24"/>
                <w:szCs w:val="24"/>
              </w:rPr>
            </w:pPr>
            <w:r w:rsidRPr="00A85586">
              <w:rPr>
                <w:sz w:val="24"/>
                <w:szCs w:val="24"/>
              </w:rPr>
              <w:t>Type 1 Diabetes</w:t>
            </w:r>
          </w:p>
        </w:tc>
        <w:tc>
          <w:tcPr>
            <w:tcW w:w="830" w:type="dxa"/>
          </w:tcPr>
          <w:p w14:paraId="1632E6E9" w14:textId="77777777" w:rsidR="00681E40" w:rsidRDefault="00681E40" w:rsidP="00681E40">
            <w:pPr>
              <w:jc w:val="center"/>
              <w:rPr>
                <w:sz w:val="24"/>
                <w:szCs w:val="24"/>
              </w:rPr>
            </w:pPr>
          </w:p>
        </w:tc>
        <w:tc>
          <w:tcPr>
            <w:tcW w:w="754" w:type="dxa"/>
          </w:tcPr>
          <w:p w14:paraId="39D12AFF" w14:textId="77777777" w:rsidR="00681E40" w:rsidRDefault="00681E40" w:rsidP="00681E40">
            <w:pPr>
              <w:jc w:val="center"/>
              <w:rPr>
                <w:sz w:val="24"/>
                <w:szCs w:val="24"/>
              </w:rPr>
            </w:pPr>
          </w:p>
        </w:tc>
      </w:tr>
      <w:tr w:rsidR="00D36C29" w14:paraId="7C4EAE61" w14:textId="77777777" w:rsidTr="00551399">
        <w:tc>
          <w:tcPr>
            <w:tcW w:w="7432" w:type="dxa"/>
          </w:tcPr>
          <w:p w14:paraId="0CCBDFB5" w14:textId="306E74B2" w:rsidR="00D36C29" w:rsidRPr="00A85586" w:rsidRDefault="00D42832" w:rsidP="00A85586">
            <w:pPr>
              <w:pStyle w:val="ListParagraph"/>
              <w:numPr>
                <w:ilvl w:val="0"/>
                <w:numId w:val="4"/>
              </w:numPr>
              <w:rPr>
                <w:sz w:val="24"/>
                <w:szCs w:val="24"/>
              </w:rPr>
            </w:pPr>
            <w:r w:rsidRPr="00A85586">
              <w:rPr>
                <w:sz w:val="24"/>
                <w:szCs w:val="24"/>
              </w:rPr>
              <w:t xml:space="preserve">Insulin dose ≥0.5 units/kg body weight at screening or BMI ≥25kg/m2 at screening </w:t>
            </w:r>
          </w:p>
        </w:tc>
        <w:tc>
          <w:tcPr>
            <w:tcW w:w="830" w:type="dxa"/>
          </w:tcPr>
          <w:p w14:paraId="0451EC0A" w14:textId="77777777" w:rsidR="00D36C29" w:rsidRDefault="00D36C29" w:rsidP="00681E40">
            <w:pPr>
              <w:jc w:val="center"/>
              <w:rPr>
                <w:sz w:val="24"/>
                <w:szCs w:val="24"/>
              </w:rPr>
            </w:pPr>
          </w:p>
        </w:tc>
        <w:tc>
          <w:tcPr>
            <w:tcW w:w="754" w:type="dxa"/>
          </w:tcPr>
          <w:p w14:paraId="55D8E178" w14:textId="77777777" w:rsidR="00D36C29" w:rsidRDefault="00D36C29" w:rsidP="00681E40">
            <w:pPr>
              <w:jc w:val="center"/>
              <w:rPr>
                <w:sz w:val="24"/>
                <w:szCs w:val="24"/>
              </w:rPr>
            </w:pPr>
          </w:p>
        </w:tc>
      </w:tr>
      <w:tr w:rsidR="00D36C29" w14:paraId="5A45CA32" w14:textId="77777777" w:rsidTr="00551399">
        <w:tc>
          <w:tcPr>
            <w:tcW w:w="7432" w:type="dxa"/>
          </w:tcPr>
          <w:p w14:paraId="449A90E9" w14:textId="3E57268B" w:rsidR="00D36C29" w:rsidRPr="00A85586" w:rsidRDefault="000812A1" w:rsidP="00A85586">
            <w:pPr>
              <w:pStyle w:val="ListParagraph"/>
              <w:numPr>
                <w:ilvl w:val="0"/>
                <w:numId w:val="4"/>
              </w:numPr>
              <w:rPr>
                <w:sz w:val="24"/>
                <w:szCs w:val="24"/>
              </w:rPr>
            </w:pPr>
            <w:r w:rsidRPr="00A85586">
              <w:rPr>
                <w:sz w:val="24"/>
                <w:szCs w:val="24"/>
              </w:rPr>
              <w:t>Using continuous glucose monitor at screening or willing to use one for the duration of the trial.</w:t>
            </w:r>
          </w:p>
        </w:tc>
        <w:tc>
          <w:tcPr>
            <w:tcW w:w="830" w:type="dxa"/>
          </w:tcPr>
          <w:p w14:paraId="78B6098A" w14:textId="77777777" w:rsidR="00D36C29" w:rsidRDefault="00D36C29" w:rsidP="00681E40">
            <w:pPr>
              <w:jc w:val="center"/>
              <w:rPr>
                <w:sz w:val="24"/>
                <w:szCs w:val="24"/>
              </w:rPr>
            </w:pPr>
          </w:p>
        </w:tc>
        <w:tc>
          <w:tcPr>
            <w:tcW w:w="754" w:type="dxa"/>
          </w:tcPr>
          <w:p w14:paraId="7A98FD99" w14:textId="77777777" w:rsidR="00D36C29" w:rsidRDefault="00D36C29" w:rsidP="00681E40">
            <w:pPr>
              <w:jc w:val="center"/>
              <w:rPr>
                <w:sz w:val="24"/>
                <w:szCs w:val="24"/>
              </w:rPr>
            </w:pPr>
          </w:p>
        </w:tc>
      </w:tr>
      <w:tr w:rsidR="00D36C29" w14:paraId="309B8305" w14:textId="77777777" w:rsidTr="00551399">
        <w:tc>
          <w:tcPr>
            <w:tcW w:w="7432" w:type="dxa"/>
          </w:tcPr>
          <w:p w14:paraId="21A925F0" w14:textId="6A0A0D10" w:rsidR="00F33CBF" w:rsidRPr="00A85586" w:rsidRDefault="00F33CBF" w:rsidP="00A85586">
            <w:pPr>
              <w:pStyle w:val="ListParagraph"/>
              <w:numPr>
                <w:ilvl w:val="0"/>
                <w:numId w:val="4"/>
              </w:numPr>
              <w:rPr>
                <w:sz w:val="24"/>
                <w:szCs w:val="24"/>
              </w:rPr>
            </w:pPr>
            <w:r w:rsidRPr="00A85586">
              <w:rPr>
                <w:sz w:val="24"/>
                <w:szCs w:val="24"/>
              </w:rPr>
              <w:t>Diagnosis of heart failure (HF) or high-risk for HF, defined as any of the following: NT-</w:t>
            </w:r>
            <w:proofErr w:type="spellStart"/>
            <w:r w:rsidRPr="00A85586">
              <w:rPr>
                <w:sz w:val="24"/>
                <w:szCs w:val="24"/>
              </w:rPr>
              <w:t>proBNP</w:t>
            </w:r>
            <w:proofErr w:type="spellEnd"/>
            <w:r w:rsidRPr="00A85586">
              <w:rPr>
                <w:sz w:val="24"/>
                <w:szCs w:val="24"/>
              </w:rPr>
              <w:t xml:space="preserve"> ≥250ng/L for those in atrial fibrillation/flutter, ≥125 ng/L for those in all other rhythms  </w:t>
            </w:r>
          </w:p>
          <w:p w14:paraId="0651511C" w14:textId="77777777" w:rsidR="00953114" w:rsidRDefault="00F33CBF" w:rsidP="00681E40">
            <w:pPr>
              <w:rPr>
                <w:sz w:val="24"/>
                <w:szCs w:val="24"/>
              </w:rPr>
            </w:pPr>
            <w:r w:rsidRPr="00F33CBF">
              <w:rPr>
                <w:sz w:val="24"/>
                <w:szCs w:val="24"/>
              </w:rPr>
              <w:lastRenderedPageBreak/>
              <w:t xml:space="preserve">or </w:t>
            </w:r>
          </w:p>
          <w:p w14:paraId="67072BEF" w14:textId="77777777" w:rsidR="00953114" w:rsidRDefault="00F33CBF" w:rsidP="00681E40">
            <w:pPr>
              <w:rPr>
                <w:sz w:val="24"/>
                <w:szCs w:val="24"/>
              </w:rPr>
            </w:pPr>
            <w:r w:rsidRPr="00F33CBF">
              <w:rPr>
                <w:sz w:val="24"/>
                <w:szCs w:val="24"/>
              </w:rPr>
              <w:t xml:space="preserve">Previous HF hospitalisation where HF was documented as the primary cause of hospitalisation and there was a requirement for loop diuretics  </w:t>
            </w:r>
          </w:p>
          <w:p w14:paraId="037E850D" w14:textId="64D92C7B" w:rsidR="00953114" w:rsidRDefault="00953114" w:rsidP="00681E40">
            <w:pPr>
              <w:rPr>
                <w:sz w:val="24"/>
                <w:szCs w:val="24"/>
              </w:rPr>
            </w:pPr>
            <w:r>
              <w:rPr>
                <w:sz w:val="24"/>
                <w:szCs w:val="24"/>
              </w:rPr>
              <w:t>or</w:t>
            </w:r>
          </w:p>
          <w:p w14:paraId="3D7B9997" w14:textId="77777777" w:rsidR="001C79C2" w:rsidRDefault="00F33CBF" w:rsidP="00681E40">
            <w:pPr>
              <w:rPr>
                <w:sz w:val="24"/>
                <w:szCs w:val="24"/>
              </w:rPr>
            </w:pPr>
            <w:r w:rsidRPr="00F33CBF">
              <w:rPr>
                <w:sz w:val="24"/>
                <w:szCs w:val="24"/>
              </w:rPr>
              <w:t xml:space="preserve">Impaired left ventricular (LV) function (i.e. LVEF &lt;50% by any imaging modality) at any time  </w:t>
            </w:r>
          </w:p>
          <w:p w14:paraId="5CDCDE21" w14:textId="63C2E778" w:rsidR="001C79C2" w:rsidRDefault="001C79C2" w:rsidP="00681E40">
            <w:pPr>
              <w:rPr>
                <w:sz w:val="24"/>
                <w:szCs w:val="24"/>
              </w:rPr>
            </w:pPr>
            <w:r>
              <w:rPr>
                <w:sz w:val="24"/>
                <w:szCs w:val="24"/>
              </w:rPr>
              <w:t>or</w:t>
            </w:r>
          </w:p>
          <w:p w14:paraId="1B89A81A" w14:textId="77777777" w:rsidR="001C79C2" w:rsidRDefault="00F33CBF" w:rsidP="00681E40">
            <w:pPr>
              <w:rPr>
                <w:sz w:val="24"/>
                <w:szCs w:val="24"/>
              </w:rPr>
            </w:pPr>
            <w:r w:rsidRPr="00F33CBF">
              <w:rPr>
                <w:sz w:val="24"/>
                <w:szCs w:val="24"/>
              </w:rPr>
              <w:t xml:space="preserve">Preserved LV systolic function (LVEF ≥50%) with left atrial enlargement (2-dimensional measurement of left atrial width ≥3.8cm or left atrial length ≥5.0 cm or left atrial area ≥20cm2 or left atrial volume index &gt;29 ml/m2) within the last 24 months. </w:t>
            </w:r>
          </w:p>
          <w:p w14:paraId="7F8FAB3B" w14:textId="0B4C59EB" w:rsidR="001C79C2" w:rsidRDefault="001C79C2" w:rsidP="00681E40">
            <w:pPr>
              <w:rPr>
                <w:sz w:val="24"/>
                <w:szCs w:val="24"/>
              </w:rPr>
            </w:pPr>
            <w:r>
              <w:rPr>
                <w:sz w:val="24"/>
                <w:szCs w:val="24"/>
              </w:rPr>
              <w:t>or</w:t>
            </w:r>
          </w:p>
          <w:p w14:paraId="3A576C42" w14:textId="77777777" w:rsidR="001C79C2" w:rsidRDefault="00F33CBF" w:rsidP="00681E40">
            <w:pPr>
              <w:rPr>
                <w:sz w:val="24"/>
                <w:szCs w:val="24"/>
              </w:rPr>
            </w:pPr>
            <w:r w:rsidRPr="00F33CBF">
              <w:rPr>
                <w:sz w:val="24"/>
                <w:szCs w:val="24"/>
              </w:rPr>
              <w:t xml:space="preserve"> Preserved LV systolic function (LVEF ≥50%) with left ventricular hypertrophy (2-dimensional measurement of end-diastolic interventricular septal diameter ≥1.2cm or end-diastolic left ventricular posterior wall diameter ≥1.2cm) within the last 24 months.  </w:t>
            </w:r>
          </w:p>
          <w:p w14:paraId="4F868777" w14:textId="19A0D8FB" w:rsidR="001C79C2" w:rsidRDefault="001C79C2" w:rsidP="00681E40">
            <w:pPr>
              <w:rPr>
                <w:sz w:val="24"/>
                <w:szCs w:val="24"/>
              </w:rPr>
            </w:pPr>
            <w:r>
              <w:rPr>
                <w:sz w:val="24"/>
                <w:szCs w:val="24"/>
              </w:rPr>
              <w:t>or</w:t>
            </w:r>
          </w:p>
          <w:p w14:paraId="55558BCA" w14:textId="7D80C15A" w:rsidR="00D36C29" w:rsidRDefault="00F33CBF" w:rsidP="00681E40">
            <w:pPr>
              <w:rPr>
                <w:sz w:val="24"/>
                <w:szCs w:val="24"/>
              </w:rPr>
            </w:pPr>
            <w:r w:rsidRPr="00F33CBF">
              <w:rPr>
                <w:sz w:val="24"/>
                <w:szCs w:val="24"/>
              </w:rPr>
              <w:t xml:space="preserve">Preserved LV systolic function (LVEF ≥50%) with diastolic dysfunction (septal e’ &lt;7cm/sec or lateral e’ &lt;10cm/sec or average E/e’ ≥15) within the last 24 months.  </w:t>
            </w:r>
          </w:p>
        </w:tc>
        <w:tc>
          <w:tcPr>
            <w:tcW w:w="830" w:type="dxa"/>
          </w:tcPr>
          <w:p w14:paraId="4DE0A0B2" w14:textId="77777777" w:rsidR="00D36C29" w:rsidRDefault="00D36C29" w:rsidP="00681E40">
            <w:pPr>
              <w:jc w:val="center"/>
              <w:rPr>
                <w:sz w:val="24"/>
                <w:szCs w:val="24"/>
              </w:rPr>
            </w:pPr>
          </w:p>
        </w:tc>
        <w:tc>
          <w:tcPr>
            <w:tcW w:w="754" w:type="dxa"/>
          </w:tcPr>
          <w:p w14:paraId="3D819E1D" w14:textId="77777777" w:rsidR="00D36C29" w:rsidRDefault="00D36C29" w:rsidP="00681E40">
            <w:pPr>
              <w:jc w:val="center"/>
              <w:rPr>
                <w:sz w:val="24"/>
                <w:szCs w:val="24"/>
              </w:rPr>
            </w:pPr>
          </w:p>
        </w:tc>
      </w:tr>
      <w:tr w:rsidR="00681E40" w14:paraId="2D30CD46" w14:textId="77777777" w:rsidTr="00551399">
        <w:tc>
          <w:tcPr>
            <w:tcW w:w="7432" w:type="dxa"/>
          </w:tcPr>
          <w:p w14:paraId="58430C31" w14:textId="00AB8D5E" w:rsidR="00681E40" w:rsidRPr="0000071E" w:rsidRDefault="00681E40" w:rsidP="0000071E">
            <w:pPr>
              <w:pStyle w:val="ListParagraph"/>
              <w:numPr>
                <w:ilvl w:val="0"/>
                <w:numId w:val="4"/>
              </w:numPr>
              <w:rPr>
                <w:sz w:val="24"/>
                <w:szCs w:val="24"/>
              </w:rPr>
            </w:pPr>
            <w:r w:rsidRPr="0000071E">
              <w:rPr>
                <w:sz w:val="24"/>
                <w:szCs w:val="24"/>
              </w:rPr>
              <w:t>New York Heart Association Class II-IV at screening</w:t>
            </w:r>
          </w:p>
        </w:tc>
        <w:tc>
          <w:tcPr>
            <w:tcW w:w="830" w:type="dxa"/>
          </w:tcPr>
          <w:p w14:paraId="1F379F07" w14:textId="77777777" w:rsidR="00681E40" w:rsidRDefault="00681E40" w:rsidP="00681E40">
            <w:pPr>
              <w:jc w:val="center"/>
              <w:rPr>
                <w:sz w:val="24"/>
                <w:szCs w:val="24"/>
              </w:rPr>
            </w:pPr>
          </w:p>
        </w:tc>
        <w:tc>
          <w:tcPr>
            <w:tcW w:w="754" w:type="dxa"/>
          </w:tcPr>
          <w:p w14:paraId="33DC803F" w14:textId="77777777" w:rsidR="00681E40" w:rsidRDefault="00681E40" w:rsidP="00681E40">
            <w:pPr>
              <w:jc w:val="center"/>
              <w:rPr>
                <w:sz w:val="24"/>
                <w:szCs w:val="24"/>
              </w:rPr>
            </w:pPr>
          </w:p>
        </w:tc>
      </w:tr>
      <w:tr w:rsidR="00681E40" w14:paraId="38539F82" w14:textId="77777777" w:rsidTr="00551399">
        <w:tc>
          <w:tcPr>
            <w:tcW w:w="7432" w:type="dxa"/>
          </w:tcPr>
          <w:p w14:paraId="318BFFA5" w14:textId="28914B7C" w:rsidR="00681E40" w:rsidRPr="00A85586" w:rsidRDefault="00681E40" w:rsidP="0000071E">
            <w:pPr>
              <w:pStyle w:val="ListParagraph"/>
              <w:numPr>
                <w:ilvl w:val="0"/>
                <w:numId w:val="4"/>
              </w:numPr>
              <w:rPr>
                <w:sz w:val="24"/>
                <w:szCs w:val="24"/>
              </w:rPr>
            </w:pPr>
            <w:r w:rsidRPr="00A85586">
              <w:rPr>
                <w:sz w:val="24"/>
                <w:szCs w:val="24"/>
              </w:rPr>
              <w:t xml:space="preserve">Elevated N-terminal pro-B-type natriuretic peptide (≥400 ng/L for those in atrial fibrillation/flutter, ≥250 ng/L for those in all other rhythms) </w:t>
            </w:r>
            <w:r w:rsidRPr="00A85586">
              <w:rPr>
                <w:b/>
                <w:bCs/>
                <w:sz w:val="24"/>
                <w:szCs w:val="24"/>
              </w:rPr>
              <w:t>or</w:t>
            </w:r>
            <w:r w:rsidRPr="00A85586">
              <w:rPr>
                <w:sz w:val="24"/>
                <w:szCs w:val="24"/>
              </w:rPr>
              <w:t xml:space="preserve"> B-type natriuretic peptide (≥100 ng/L for those in atrial fibrillation/flutter, ≥75 ng/L for those in all other rhythms) within 12 months of screening</w:t>
            </w:r>
          </w:p>
        </w:tc>
        <w:tc>
          <w:tcPr>
            <w:tcW w:w="830" w:type="dxa"/>
          </w:tcPr>
          <w:p w14:paraId="62DB2AB7" w14:textId="77777777" w:rsidR="00681E40" w:rsidRDefault="00681E40" w:rsidP="00681E40">
            <w:pPr>
              <w:jc w:val="center"/>
              <w:rPr>
                <w:sz w:val="24"/>
                <w:szCs w:val="24"/>
              </w:rPr>
            </w:pPr>
          </w:p>
        </w:tc>
        <w:tc>
          <w:tcPr>
            <w:tcW w:w="754" w:type="dxa"/>
          </w:tcPr>
          <w:p w14:paraId="0D029D27" w14:textId="77777777" w:rsidR="00681E40" w:rsidRDefault="00681E40" w:rsidP="00681E40">
            <w:pPr>
              <w:jc w:val="center"/>
              <w:rPr>
                <w:sz w:val="24"/>
                <w:szCs w:val="24"/>
              </w:rPr>
            </w:pPr>
          </w:p>
        </w:tc>
      </w:tr>
      <w:tr w:rsidR="00681E40" w14:paraId="785DA730" w14:textId="77777777" w:rsidTr="00551399">
        <w:tc>
          <w:tcPr>
            <w:tcW w:w="7432" w:type="dxa"/>
          </w:tcPr>
          <w:p w14:paraId="1397D9F0" w14:textId="228FF82F" w:rsidR="00681E40" w:rsidRPr="00A85586" w:rsidRDefault="00681E40" w:rsidP="0000071E">
            <w:pPr>
              <w:pStyle w:val="ListParagraph"/>
              <w:numPr>
                <w:ilvl w:val="0"/>
                <w:numId w:val="4"/>
              </w:numPr>
              <w:rPr>
                <w:sz w:val="24"/>
                <w:szCs w:val="24"/>
              </w:rPr>
            </w:pPr>
            <w:r w:rsidRPr="00A85586">
              <w:rPr>
                <w:sz w:val="24"/>
                <w:szCs w:val="24"/>
              </w:rPr>
              <w:t>Kansas City Cardiomyopathy clinical summary score &lt;85 at screening.</w:t>
            </w:r>
          </w:p>
        </w:tc>
        <w:tc>
          <w:tcPr>
            <w:tcW w:w="830" w:type="dxa"/>
          </w:tcPr>
          <w:p w14:paraId="439099D0" w14:textId="77777777" w:rsidR="00681E40" w:rsidRDefault="00681E40" w:rsidP="00681E40">
            <w:pPr>
              <w:jc w:val="center"/>
              <w:rPr>
                <w:sz w:val="24"/>
                <w:szCs w:val="24"/>
              </w:rPr>
            </w:pPr>
          </w:p>
        </w:tc>
        <w:tc>
          <w:tcPr>
            <w:tcW w:w="754" w:type="dxa"/>
          </w:tcPr>
          <w:p w14:paraId="1D69A14C" w14:textId="77777777" w:rsidR="00681E40" w:rsidRDefault="00681E40" w:rsidP="00681E40">
            <w:pPr>
              <w:jc w:val="center"/>
              <w:rPr>
                <w:sz w:val="24"/>
                <w:szCs w:val="24"/>
              </w:rPr>
            </w:pPr>
          </w:p>
        </w:tc>
      </w:tr>
      <w:tr w:rsidR="00681E40" w14:paraId="72910968" w14:textId="77777777">
        <w:tc>
          <w:tcPr>
            <w:tcW w:w="9016" w:type="dxa"/>
            <w:gridSpan w:val="3"/>
          </w:tcPr>
          <w:p w14:paraId="718ABD67" w14:textId="34911B1F" w:rsidR="00681E40" w:rsidRDefault="00681E40" w:rsidP="00681E40">
            <w:pPr>
              <w:rPr>
                <w:sz w:val="24"/>
                <w:szCs w:val="24"/>
              </w:rPr>
            </w:pPr>
            <w:r>
              <w:rPr>
                <w:b/>
                <w:bCs/>
                <w:sz w:val="24"/>
                <w:szCs w:val="24"/>
              </w:rPr>
              <w:t>Exclusion Criteria</w:t>
            </w:r>
          </w:p>
        </w:tc>
      </w:tr>
      <w:tr w:rsidR="00681E40" w14:paraId="20BE182A" w14:textId="77777777" w:rsidTr="00551399">
        <w:tc>
          <w:tcPr>
            <w:tcW w:w="7432" w:type="dxa"/>
          </w:tcPr>
          <w:p w14:paraId="4C25F4EF" w14:textId="03D33708" w:rsidR="00681E40" w:rsidRPr="0018129F" w:rsidRDefault="00681E40" w:rsidP="0018129F">
            <w:pPr>
              <w:pStyle w:val="ListParagraph"/>
              <w:numPr>
                <w:ilvl w:val="0"/>
                <w:numId w:val="6"/>
              </w:numPr>
              <w:rPr>
                <w:sz w:val="24"/>
                <w:szCs w:val="24"/>
              </w:rPr>
            </w:pPr>
            <w:r w:rsidRPr="0018129F">
              <w:rPr>
                <w:sz w:val="24"/>
                <w:szCs w:val="24"/>
              </w:rPr>
              <w:t>Cardiac surgery (coronary artery bypass graft or valve replacement), type 1 myocardial infarction, implantation of cardiac device (including biventricular pacemaker) or cardiac mechanical support implantation within 1 month of screening, or between screening and randomisation, or planned during the trial.</w:t>
            </w:r>
          </w:p>
        </w:tc>
        <w:tc>
          <w:tcPr>
            <w:tcW w:w="830" w:type="dxa"/>
          </w:tcPr>
          <w:p w14:paraId="67325029" w14:textId="77777777" w:rsidR="00681E40" w:rsidRDefault="00681E40" w:rsidP="00681E40">
            <w:pPr>
              <w:jc w:val="center"/>
              <w:rPr>
                <w:sz w:val="24"/>
                <w:szCs w:val="24"/>
              </w:rPr>
            </w:pPr>
          </w:p>
        </w:tc>
        <w:tc>
          <w:tcPr>
            <w:tcW w:w="754" w:type="dxa"/>
          </w:tcPr>
          <w:p w14:paraId="103A1ED9" w14:textId="77777777" w:rsidR="00681E40" w:rsidRDefault="00681E40" w:rsidP="00681E40">
            <w:pPr>
              <w:jc w:val="center"/>
              <w:rPr>
                <w:sz w:val="24"/>
                <w:szCs w:val="24"/>
              </w:rPr>
            </w:pPr>
          </w:p>
        </w:tc>
      </w:tr>
      <w:tr w:rsidR="00681E40" w14:paraId="4A55A17E" w14:textId="77777777" w:rsidTr="00551399">
        <w:tc>
          <w:tcPr>
            <w:tcW w:w="7432" w:type="dxa"/>
          </w:tcPr>
          <w:p w14:paraId="7C503274" w14:textId="47494B41" w:rsidR="00681E40" w:rsidRPr="0018129F" w:rsidRDefault="00681E40" w:rsidP="0018129F">
            <w:pPr>
              <w:pStyle w:val="ListParagraph"/>
              <w:numPr>
                <w:ilvl w:val="0"/>
                <w:numId w:val="6"/>
              </w:numPr>
              <w:rPr>
                <w:sz w:val="24"/>
                <w:szCs w:val="24"/>
              </w:rPr>
            </w:pPr>
            <w:r w:rsidRPr="0018129F">
              <w:rPr>
                <w:sz w:val="24"/>
                <w:szCs w:val="24"/>
              </w:rPr>
              <w:t>End-stage heart failure requiring left ventricular assist devices, intra-aortic balloon pump, or any type of mechanical support at the time of randomisation.</w:t>
            </w:r>
          </w:p>
        </w:tc>
        <w:tc>
          <w:tcPr>
            <w:tcW w:w="830" w:type="dxa"/>
          </w:tcPr>
          <w:p w14:paraId="2BAC8719" w14:textId="77777777" w:rsidR="00681E40" w:rsidRDefault="00681E40" w:rsidP="00681E40">
            <w:pPr>
              <w:jc w:val="center"/>
              <w:rPr>
                <w:sz w:val="24"/>
                <w:szCs w:val="24"/>
              </w:rPr>
            </w:pPr>
          </w:p>
        </w:tc>
        <w:tc>
          <w:tcPr>
            <w:tcW w:w="754" w:type="dxa"/>
          </w:tcPr>
          <w:p w14:paraId="14C7A6C5" w14:textId="77777777" w:rsidR="00681E40" w:rsidRDefault="00681E40" w:rsidP="00681E40">
            <w:pPr>
              <w:jc w:val="center"/>
              <w:rPr>
                <w:sz w:val="24"/>
                <w:szCs w:val="24"/>
              </w:rPr>
            </w:pPr>
          </w:p>
        </w:tc>
      </w:tr>
      <w:tr w:rsidR="00681E40" w14:paraId="48801DF2" w14:textId="77777777" w:rsidTr="00551399">
        <w:tc>
          <w:tcPr>
            <w:tcW w:w="7432" w:type="dxa"/>
          </w:tcPr>
          <w:p w14:paraId="534EF55E" w14:textId="17B01CAF" w:rsidR="00681E40" w:rsidRPr="0018129F" w:rsidRDefault="00681E40" w:rsidP="0018129F">
            <w:pPr>
              <w:pStyle w:val="ListParagraph"/>
              <w:numPr>
                <w:ilvl w:val="0"/>
                <w:numId w:val="6"/>
              </w:numPr>
              <w:rPr>
                <w:sz w:val="24"/>
                <w:szCs w:val="24"/>
              </w:rPr>
            </w:pPr>
            <w:r w:rsidRPr="0018129F">
              <w:rPr>
                <w:sz w:val="24"/>
                <w:szCs w:val="24"/>
              </w:rPr>
              <w:t>Documented primary severe valvular heart disease, amyloidosis or hypertrophic cardiomyopathy as principal cause of heart failure as judged by the local investigator.</w:t>
            </w:r>
          </w:p>
        </w:tc>
        <w:tc>
          <w:tcPr>
            <w:tcW w:w="830" w:type="dxa"/>
          </w:tcPr>
          <w:p w14:paraId="1727F99B" w14:textId="77777777" w:rsidR="00681E40" w:rsidRDefault="00681E40" w:rsidP="00681E40">
            <w:pPr>
              <w:jc w:val="center"/>
              <w:rPr>
                <w:sz w:val="24"/>
                <w:szCs w:val="24"/>
              </w:rPr>
            </w:pPr>
          </w:p>
        </w:tc>
        <w:tc>
          <w:tcPr>
            <w:tcW w:w="754" w:type="dxa"/>
          </w:tcPr>
          <w:p w14:paraId="739F7CB5" w14:textId="77777777" w:rsidR="00681E40" w:rsidRDefault="00681E40" w:rsidP="00681E40">
            <w:pPr>
              <w:jc w:val="center"/>
              <w:rPr>
                <w:sz w:val="24"/>
                <w:szCs w:val="24"/>
              </w:rPr>
            </w:pPr>
          </w:p>
        </w:tc>
      </w:tr>
      <w:tr w:rsidR="00681E40" w14:paraId="564EF34D" w14:textId="77777777" w:rsidTr="00551399">
        <w:tc>
          <w:tcPr>
            <w:tcW w:w="7432" w:type="dxa"/>
          </w:tcPr>
          <w:p w14:paraId="1E63F332" w14:textId="2030C824" w:rsidR="00681E40" w:rsidRPr="0018129F" w:rsidRDefault="00681E40" w:rsidP="0018129F">
            <w:pPr>
              <w:pStyle w:val="ListParagraph"/>
              <w:numPr>
                <w:ilvl w:val="0"/>
                <w:numId w:val="6"/>
              </w:numPr>
              <w:rPr>
                <w:sz w:val="24"/>
                <w:szCs w:val="24"/>
              </w:rPr>
            </w:pPr>
            <w:r w:rsidRPr="0018129F">
              <w:rPr>
                <w:sz w:val="24"/>
                <w:szCs w:val="24"/>
              </w:rPr>
              <w:t>Respiratory disease thought to be the primary cause of dyspnoea as assessed by the local investigator.</w:t>
            </w:r>
          </w:p>
        </w:tc>
        <w:tc>
          <w:tcPr>
            <w:tcW w:w="830" w:type="dxa"/>
          </w:tcPr>
          <w:p w14:paraId="7B759303" w14:textId="77777777" w:rsidR="00681E40" w:rsidRDefault="00681E40" w:rsidP="00681E40">
            <w:pPr>
              <w:jc w:val="center"/>
              <w:rPr>
                <w:sz w:val="24"/>
                <w:szCs w:val="24"/>
              </w:rPr>
            </w:pPr>
          </w:p>
        </w:tc>
        <w:tc>
          <w:tcPr>
            <w:tcW w:w="754" w:type="dxa"/>
          </w:tcPr>
          <w:p w14:paraId="6895CFBA" w14:textId="77777777" w:rsidR="00681E40" w:rsidRDefault="00681E40" w:rsidP="00681E40">
            <w:pPr>
              <w:jc w:val="center"/>
              <w:rPr>
                <w:sz w:val="24"/>
                <w:szCs w:val="24"/>
              </w:rPr>
            </w:pPr>
          </w:p>
        </w:tc>
      </w:tr>
      <w:tr w:rsidR="00681E40" w14:paraId="191454C6" w14:textId="77777777" w:rsidTr="00551399">
        <w:tc>
          <w:tcPr>
            <w:tcW w:w="7432" w:type="dxa"/>
          </w:tcPr>
          <w:p w14:paraId="04D3ED76" w14:textId="5C456D9D" w:rsidR="00681E40" w:rsidRPr="0018129F" w:rsidRDefault="00681E40" w:rsidP="0018129F">
            <w:pPr>
              <w:pStyle w:val="ListParagraph"/>
              <w:numPr>
                <w:ilvl w:val="0"/>
                <w:numId w:val="6"/>
              </w:numPr>
              <w:rPr>
                <w:sz w:val="24"/>
                <w:szCs w:val="24"/>
              </w:rPr>
            </w:pPr>
            <w:r w:rsidRPr="0018129F">
              <w:rPr>
                <w:sz w:val="24"/>
                <w:szCs w:val="24"/>
              </w:rPr>
              <w:t>Chronic kidney disease with estimated glomerular filtration rate &lt;25ml/min/1.73m</w:t>
            </w:r>
            <w:r w:rsidRPr="0018129F">
              <w:rPr>
                <w:sz w:val="24"/>
                <w:szCs w:val="24"/>
                <w:vertAlign w:val="superscript"/>
              </w:rPr>
              <w:t>2</w:t>
            </w:r>
            <w:r w:rsidRPr="0018129F">
              <w:rPr>
                <w:sz w:val="24"/>
                <w:szCs w:val="24"/>
              </w:rPr>
              <w:t xml:space="preserve"> at screening.</w:t>
            </w:r>
          </w:p>
        </w:tc>
        <w:tc>
          <w:tcPr>
            <w:tcW w:w="830" w:type="dxa"/>
          </w:tcPr>
          <w:p w14:paraId="51498A8D" w14:textId="77777777" w:rsidR="00681E40" w:rsidRDefault="00681E40" w:rsidP="00681E40">
            <w:pPr>
              <w:jc w:val="center"/>
              <w:rPr>
                <w:sz w:val="24"/>
                <w:szCs w:val="24"/>
              </w:rPr>
            </w:pPr>
          </w:p>
        </w:tc>
        <w:tc>
          <w:tcPr>
            <w:tcW w:w="754" w:type="dxa"/>
          </w:tcPr>
          <w:p w14:paraId="0D553664" w14:textId="77777777" w:rsidR="00681E40" w:rsidRDefault="00681E40" w:rsidP="00681E40">
            <w:pPr>
              <w:jc w:val="center"/>
              <w:rPr>
                <w:sz w:val="24"/>
                <w:szCs w:val="24"/>
              </w:rPr>
            </w:pPr>
          </w:p>
        </w:tc>
      </w:tr>
      <w:tr w:rsidR="00681E40" w14:paraId="2EB348A9" w14:textId="77777777" w:rsidTr="00551399">
        <w:tc>
          <w:tcPr>
            <w:tcW w:w="7432" w:type="dxa"/>
          </w:tcPr>
          <w:p w14:paraId="09E3D305" w14:textId="2F58E63C" w:rsidR="00681E40" w:rsidRPr="0018129F" w:rsidRDefault="00681E40" w:rsidP="0018129F">
            <w:pPr>
              <w:pStyle w:val="ListParagraph"/>
              <w:numPr>
                <w:ilvl w:val="0"/>
                <w:numId w:val="6"/>
              </w:numPr>
              <w:rPr>
                <w:sz w:val="24"/>
                <w:szCs w:val="24"/>
              </w:rPr>
            </w:pPr>
            <w:r w:rsidRPr="0018129F">
              <w:rPr>
                <w:sz w:val="24"/>
                <w:szCs w:val="24"/>
              </w:rPr>
              <w:t>Moderate or severe hepatic impairment (e.g. Child-Pugh B and C) at screening as judged by the local investigator</w:t>
            </w:r>
          </w:p>
        </w:tc>
        <w:tc>
          <w:tcPr>
            <w:tcW w:w="830" w:type="dxa"/>
          </w:tcPr>
          <w:p w14:paraId="04230CA9" w14:textId="77777777" w:rsidR="00681E40" w:rsidRDefault="00681E40" w:rsidP="00681E40">
            <w:pPr>
              <w:jc w:val="center"/>
              <w:rPr>
                <w:sz w:val="24"/>
                <w:szCs w:val="24"/>
              </w:rPr>
            </w:pPr>
          </w:p>
        </w:tc>
        <w:tc>
          <w:tcPr>
            <w:tcW w:w="754" w:type="dxa"/>
          </w:tcPr>
          <w:p w14:paraId="4FA95874" w14:textId="77777777" w:rsidR="00681E40" w:rsidRDefault="00681E40" w:rsidP="00681E40">
            <w:pPr>
              <w:jc w:val="center"/>
              <w:rPr>
                <w:sz w:val="24"/>
                <w:szCs w:val="24"/>
              </w:rPr>
            </w:pPr>
          </w:p>
        </w:tc>
      </w:tr>
      <w:tr w:rsidR="00681E40" w14:paraId="40CA797B" w14:textId="77777777" w:rsidTr="00551399">
        <w:tc>
          <w:tcPr>
            <w:tcW w:w="7432" w:type="dxa"/>
          </w:tcPr>
          <w:p w14:paraId="1383F6A6" w14:textId="1348F649" w:rsidR="00681E40" w:rsidRPr="0018129F" w:rsidRDefault="00681E40" w:rsidP="0018129F">
            <w:pPr>
              <w:pStyle w:val="ListParagraph"/>
              <w:numPr>
                <w:ilvl w:val="0"/>
                <w:numId w:val="6"/>
              </w:numPr>
              <w:rPr>
                <w:sz w:val="24"/>
                <w:szCs w:val="24"/>
              </w:rPr>
            </w:pPr>
            <w:r w:rsidRPr="0018129F">
              <w:rPr>
                <w:sz w:val="24"/>
                <w:szCs w:val="24"/>
              </w:rPr>
              <w:lastRenderedPageBreak/>
              <w:t xml:space="preserve">Use of </w:t>
            </w:r>
            <w:proofErr w:type="spellStart"/>
            <w:r w:rsidRPr="0018129F">
              <w:rPr>
                <w:sz w:val="24"/>
                <w:szCs w:val="24"/>
              </w:rPr>
              <w:t>sotagliflozin</w:t>
            </w:r>
            <w:proofErr w:type="spellEnd"/>
            <w:r w:rsidRPr="0018129F">
              <w:rPr>
                <w:sz w:val="24"/>
                <w:szCs w:val="24"/>
              </w:rPr>
              <w:t xml:space="preserve"> or any SGLT2 inhibitor within 1 month of screening or between screening and randomisation. </w:t>
            </w:r>
          </w:p>
        </w:tc>
        <w:tc>
          <w:tcPr>
            <w:tcW w:w="830" w:type="dxa"/>
          </w:tcPr>
          <w:p w14:paraId="4899E92A" w14:textId="77777777" w:rsidR="00681E40" w:rsidRDefault="00681E40" w:rsidP="00681E40">
            <w:pPr>
              <w:jc w:val="center"/>
              <w:rPr>
                <w:sz w:val="24"/>
                <w:szCs w:val="24"/>
              </w:rPr>
            </w:pPr>
          </w:p>
        </w:tc>
        <w:tc>
          <w:tcPr>
            <w:tcW w:w="754" w:type="dxa"/>
          </w:tcPr>
          <w:p w14:paraId="5392C633" w14:textId="77777777" w:rsidR="00681E40" w:rsidRDefault="00681E40" w:rsidP="00681E40">
            <w:pPr>
              <w:jc w:val="center"/>
              <w:rPr>
                <w:sz w:val="24"/>
                <w:szCs w:val="24"/>
              </w:rPr>
            </w:pPr>
          </w:p>
        </w:tc>
      </w:tr>
      <w:tr w:rsidR="00681E40" w14:paraId="353C2B6C" w14:textId="77777777" w:rsidTr="00551399">
        <w:tc>
          <w:tcPr>
            <w:tcW w:w="7432" w:type="dxa"/>
          </w:tcPr>
          <w:p w14:paraId="062130D7" w14:textId="347EA592" w:rsidR="00681E40" w:rsidRPr="0018129F" w:rsidRDefault="00681E40" w:rsidP="0018129F">
            <w:pPr>
              <w:pStyle w:val="ListParagraph"/>
              <w:numPr>
                <w:ilvl w:val="0"/>
                <w:numId w:val="6"/>
              </w:numPr>
              <w:rPr>
                <w:sz w:val="24"/>
                <w:szCs w:val="24"/>
              </w:rPr>
            </w:pPr>
            <w:r w:rsidRPr="0018129F">
              <w:rPr>
                <w:sz w:val="24"/>
                <w:szCs w:val="24"/>
              </w:rPr>
              <w:t>Previous hypersensitivity/intolerance to SGLT2 inhibitors.</w:t>
            </w:r>
          </w:p>
        </w:tc>
        <w:tc>
          <w:tcPr>
            <w:tcW w:w="830" w:type="dxa"/>
          </w:tcPr>
          <w:p w14:paraId="425B524A" w14:textId="77777777" w:rsidR="00681E40" w:rsidRDefault="00681E40" w:rsidP="00681E40">
            <w:pPr>
              <w:jc w:val="center"/>
              <w:rPr>
                <w:sz w:val="24"/>
                <w:szCs w:val="24"/>
              </w:rPr>
            </w:pPr>
          </w:p>
        </w:tc>
        <w:tc>
          <w:tcPr>
            <w:tcW w:w="754" w:type="dxa"/>
          </w:tcPr>
          <w:p w14:paraId="4470C4D6" w14:textId="77777777" w:rsidR="00681E40" w:rsidRDefault="00681E40" w:rsidP="00681E40">
            <w:pPr>
              <w:jc w:val="center"/>
              <w:rPr>
                <w:sz w:val="24"/>
                <w:szCs w:val="24"/>
              </w:rPr>
            </w:pPr>
          </w:p>
        </w:tc>
      </w:tr>
      <w:tr w:rsidR="00681E40" w14:paraId="0B6F7D73" w14:textId="77777777" w:rsidTr="00551399">
        <w:tc>
          <w:tcPr>
            <w:tcW w:w="7432" w:type="dxa"/>
          </w:tcPr>
          <w:p w14:paraId="3A80D7D7" w14:textId="7C363C8F" w:rsidR="00681E40" w:rsidRPr="0018129F" w:rsidRDefault="00681E40" w:rsidP="0018129F">
            <w:pPr>
              <w:pStyle w:val="ListParagraph"/>
              <w:numPr>
                <w:ilvl w:val="0"/>
                <w:numId w:val="6"/>
              </w:numPr>
              <w:rPr>
                <w:sz w:val="24"/>
                <w:szCs w:val="24"/>
              </w:rPr>
            </w:pPr>
            <w:r w:rsidRPr="0018129F">
              <w:rPr>
                <w:sz w:val="24"/>
                <w:szCs w:val="24"/>
              </w:rPr>
              <w:t>Presence of malignancy with expected life expectancy &lt;1 year at screening.</w:t>
            </w:r>
          </w:p>
        </w:tc>
        <w:tc>
          <w:tcPr>
            <w:tcW w:w="830" w:type="dxa"/>
          </w:tcPr>
          <w:p w14:paraId="7BE53376" w14:textId="77777777" w:rsidR="00681E40" w:rsidRDefault="00681E40" w:rsidP="00681E40">
            <w:pPr>
              <w:jc w:val="center"/>
              <w:rPr>
                <w:sz w:val="24"/>
                <w:szCs w:val="24"/>
              </w:rPr>
            </w:pPr>
          </w:p>
        </w:tc>
        <w:tc>
          <w:tcPr>
            <w:tcW w:w="754" w:type="dxa"/>
          </w:tcPr>
          <w:p w14:paraId="22F42656" w14:textId="77777777" w:rsidR="00681E40" w:rsidRDefault="00681E40" w:rsidP="00681E40">
            <w:pPr>
              <w:jc w:val="center"/>
              <w:rPr>
                <w:sz w:val="24"/>
                <w:szCs w:val="24"/>
              </w:rPr>
            </w:pPr>
          </w:p>
        </w:tc>
      </w:tr>
      <w:tr w:rsidR="00681E40" w14:paraId="23F24624" w14:textId="77777777" w:rsidTr="00551399">
        <w:tc>
          <w:tcPr>
            <w:tcW w:w="7432" w:type="dxa"/>
          </w:tcPr>
          <w:p w14:paraId="4B92F73A" w14:textId="4F7290FF" w:rsidR="00681E40" w:rsidRPr="0018129F" w:rsidRDefault="00681E40" w:rsidP="0018129F">
            <w:pPr>
              <w:pStyle w:val="ListParagraph"/>
              <w:numPr>
                <w:ilvl w:val="0"/>
                <w:numId w:val="6"/>
              </w:numPr>
              <w:rPr>
                <w:sz w:val="24"/>
                <w:szCs w:val="24"/>
              </w:rPr>
            </w:pPr>
            <w:r w:rsidRPr="0018129F">
              <w:rPr>
                <w:sz w:val="24"/>
                <w:szCs w:val="24"/>
              </w:rPr>
              <w:t>Severe hypoglycaemia (hospitalisation for hypoglycaemia or episode requiring external assistance to treat) within 1 month prior to screening or between screening and randomisation.</w:t>
            </w:r>
          </w:p>
        </w:tc>
        <w:tc>
          <w:tcPr>
            <w:tcW w:w="830" w:type="dxa"/>
          </w:tcPr>
          <w:p w14:paraId="60233C18" w14:textId="77777777" w:rsidR="00681E40" w:rsidRDefault="00681E40" w:rsidP="00681E40">
            <w:pPr>
              <w:jc w:val="center"/>
              <w:rPr>
                <w:sz w:val="24"/>
                <w:szCs w:val="24"/>
              </w:rPr>
            </w:pPr>
          </w:p>
        </w:tc>
        <w:tc>
          <w:tcPr>
            <w:tcW w:w="754" w:type="dxa"/>
          </w:tcPr>
          <w:p w14:paraId="42C53E42" w14:textId="77777777" w:rsidR="00681E40" w:rsidRDefault="00681E40" w:rsidP="00681E40">
            <w:pPr>
              <w:jc w:val="center"/>
              <w:rPr>
                <w:sz w:val="24"/>
                <w:szCs w:val="24"/>
              </w:rPr>
            </w:pPr>
          </w:p>
        </w:tc>
      </w:tr>
      <w:tr w:rsidR="00681E40" w14:paraId="7E015266" w14:textId="77777777" w:rsidTr="00551399">
        <w:tc>
          <w:tcPr>
            <w:tcW w:w="7432" w:type="dxa"/>
          </w:tcPr>
          <w:p w14:paraId="66D36814" w14:textId="4978A555" w:rsidR="00681E40" w:rsidRPr="0018129F" w:rsidRDefault="00681E40" w:rsidP="0018129F">
            <w:pPr>
              <w:pStyle w:val="ListParagraph"/>
              <w:numPr>
                <w:ilvl w:val="0"/>
                <w:numId w:val="6"/>
              </w:numPr>
              <w:rPr>
                <w:sz w:val="24"/>
                <w:szCs w:val="24"/>
              </w:rPr>
            </w:pPr>
            <w:r w:rsidRPr="0018129F">
              <w:rPr>
                <w:sz w:val="24"/>
                <w:szCs w:val="24"/>
              </w:rPr>
              <w:t>One episode of diabetic ketoacidosis or nonketotic hyperosmolar state within 1 month of screening or between screening and randomisation, or ≥2 diabetic ketoacidosis or nonketotic hyperosmolar state events within 6 months of screening.</w:t>
            </w:r>
          </w:p>
        </w:tc>
        <w:tc>
          <w:tcPr>
            <w:tcW w:w="830" w:type="dxa"/>
          </w:tcPr>
          <w:p w14:paraId="574CC1C6" w14:textId="77777777" w:rsidR="00681E40" w:rsidRDefault="00681E40" w:rsidP="00681E40">
            <w:pPr>
              <w:jc w:val="center"/>
              <w:rPr>
                <w:sz w:val="24"/>
                <w:szCs w:val="24"/>
              </w:rPr>
            </w:pPr>
          </w:p>
        </w:tc>
        <w:tc>
          <w:tcPr>
            <w:tcW w:w="754" w:type="dxa"/>
          </w:tcPr>
          <w:p w14:paraId="36B2A218" w14:textId="77777777" w:rsidR="00681E40" w:rsidRDefault="00681E40" w:rsidP="00681E40">
            <w:pPr>
              <w:jc w:val="center"/>
              <w:rPr>
                <w:sz w:val="24"/>
                <w:szCs w:val="24"/>
              </w:rPr>
            </w:pPr>
          </w:p>
        </w:tc>
      </w:tr>
      <w:tr w:rsidR="00681E40" w14:paraId="29B890E3" w14:textId="77777777" w:rsidTr="00551399">
        <w:tc>
          <w:tcPr>
            <w:tcW w:w="7432" w:type="dxa"/>
          </w:tcPr>
          <w:p w14:paraId="7B3D1B2B" w14:textId="46CAA447" w:rsidR="00681E40" w:rsidRPr="0018129F" w:rsidRDefault="00681E40" w:rsidP="0018129F">
            <w:pPr>
              <w:pStyle w:val="ListParagraph"/>
              <w:numPr>
                <w:ilvl w:val="0"/>
                <w:numId w:val="6"/>
              </w:numPr>
              <w:rPr>
                <w:sz w:val="24"/>
                <w:szCs w:val="24"/>
              </w:rPr>
            </w:pPr>
            <w:r w:rsidRPr="0018129F">
              <w:rPr>
                <w:sz w:val="24"/>
                <w:szCs w:val="24"/>
              </w:rPr>
              <w:t>Pregnant or lactating women</w:t>
            </w:r>
          </w:p>
        </w:tc>
        <w:tc>
          <w:tcPr>
            <w:tcW w:w="830" w:type="dxa"/>
          </w:tcPr>
          <w:p w14:paraId="724842B2" w14:textId="77777777" w:rsidR="00681E40" w:rsidRDefault="00681E40" w:rsidP="00681E40">
            <w:pPr>
              <w:jc w:val="center"/>
              <w:rPr>
                <w:sz w:val="24"/>
                <w:szCs w:val="24"/>
              </w:rPr>
            </w:pPr>
          </w:p>
        </w:tc>
        <w:tc>
          <w:tcPr>
            <w:tcW w:w="754" w:type="dxa"/>
          </w:tcPr>
          <w:p w14:paraId="59338D17" w14:textId="77777777" w:rsidR="00681E40" w:rsidRDefault="00681E40" w:rsidP="00681E40">
            <w:pPr>
              <w:jc w:val="center"/>
              <w:rPr>
                <w:sz w:val="24"/>
                <w:szCs w:val="24"/>
              </w:rPr>
            </w:pPr>
          </w:p>
        </w:tc>
      </w:tr>
      <w:tr w:rsidR="00681E40" w14:paraId="6F16C875" w14:textId="77777777" w:rsidTr="00551399">
        <w:tc>
          <w:tcPr>
            <w:tcW w:w="7432" w:type="dxa"/>
          </w:tcPr>
          <w:p w14:paraId="0BB8CE42" w14:textId="2FDCACA6" w:rsidR="00681E40" w:rsidRPr="0018129F" w:rsidRDefault="00681E40" w:rsidP="0018129F">
            <w:pPr>
              <w:pStyle w:val="ListParagraph"/>
              <w:numPr>
                <w:ilvl w:val="0"/>
                <w:numId w:val="6"/>
              </w:numPr>
              <w:rPr>
                <w:sz w:val="24"/>
                <w:szCs w:val="24"/>
              </w:rPr>
            </w:pPr>
            <w:r w:rsidRPr="0018129F">
              <w:rPr>
                <w:sz w:val="24"/>
                <w:szCs w:val="24"/>
              </w:rPr>
              <w:t>Women of childbearing age or male partners of women of childbearing age and not practicing an acceptable method of birth control.</w:t>
            </w:r>
          </w:p>
        </w:tc>
        <w:tc>
          <w:tcPr>
            <w:tcW w:w="830" w:type="dxa"/>
          </w:tcPr>
          <w:p w14:paraId="4BCD7E3C" w14:textId="77777777" w:rsidR="00681E40" w:rsidRDefault="00681E40" w:rsidP="00681E40">
            <w:pPr>
              <w:jc w:val="center"/>
              <w:rPr>
                <w:sz w:val="24"/>
                <w:szCs w:val="24"/>
              </w:rPr>
            </w:pPr>
          </w:p>
        </w:tc>
        <w:tc>
          <w:tcPr>
            <w:tcW w:w="754" w:type="dxa"/>
          </w:tcPr>
          <w:p w14:paraId="2570AFD8" w14:textId="77777777" w:rsidR="00681E40" w:rsidRDefault="00681E40" w:rsidP="00681E40">
            <w:pPr>
              <w:jc w:val="center"/>
              <w:rPr>
                <w:sz w:val="24"/>
                <w:szCs w:val="24"/>
              </w:rPr>
            </w:pPr>
          </w:p>
        </w:tc>
      </w:tr>
      <w:tr w:rsidR="00681E40" w14:paraId="55FB82C0" w14:textId="77777777" w:rsidTr="00551399">
        <w:tc>
          <w:tcPr>
            <w:tcW w:w="7432" w:type="dxa"/>
          </w:tcPr>
          <w:p w14:paraId="00B72875" w14:textId="0210F15B" w:rsidR="00681E40" w:rsidRPr="0018129F" w:rsidRDefault="00681E40" w:rsidP="0018129F">
            <w:pPr>
              <w:pStyle w:val="ListParagraph"/>
              <w:numPr>
                <w:ilvl w:val="0"/>
                <w:numId w:val="6"/>
              </w:numPr>
              <w:rPr>
                <w:sz w:val="24"/>
                <w:szCs w:val="24"/>
              </w:rPr>
            </w:pPr>
            <w:r w:rsidRPr="0018129F">
              <w:rPr>
                <w:sz w:val="24"/>
                <w:szCs w:val="24"/>
              </w:rPr>
              <w:t>On a ketogenic diet.</w:t>
            </w:r>
          </w:p>
        </w:tc>
        <w:tc>
          <w:tcPr>
            <w:tcW w:w="830" w:type="dxa"/>
          </w:tcPr>
          <w:p w14:paraId="0D97D0CC" w14:textId="77777777" w:rsidR="00681E40" w:rsidRDefault="00681E40" w:rsidP="00681E40">
            <w:pPr>
              <w:jc w:val="center"/>
              <w:rPr>
                <w:sz w:val="24"/>
                <w:szCs w:val="24"/>
              </w:rPr>
            </w:pPr>
          </w:p>
        </w:tc>
        <w:tc>
          <w:tcPr>
            <w:tcW w:w="754" w:type="dxa"/>
          </w:tcPr>
          <w:p w14:paraId="1431CFBF" w14:textId="77777777" w:rsidR="00681E40" w:rsidRDefault="00681E40" w:rsidP="00681E40">
            <w:pPr>
              <w:jc w:val="center"/>
              <w:rPr>
                <w:sz w:val="24"/>
                <w:szCs w:val="24"/>
              </w:rPr>
            </w:pPr>
          </w:p>
        </w:tc>
      </w:tr>
      <w:tr w:rsidR="00681E40" w14:paraId="56FE7457" w14:textId="77777777" w:rsidTr="00551399">
        <w:tc>
          <w:tcPr>
            <w:tcW w:w="7432" w:type="dxa"/>
          </w:tcPr>
          <w:p w14:paraId="3F56D156" w14:textId="0ECE906F" w:rsidR="00681E40" w:rsidRPr="0018129F" w:rsidRDefault="00681E40" w:rsidP="0018129F">
            <w:pPr>
              <w:pStyle w:val="ListParagraph"/>
              <w:numPr>
                <w:ilvl w:val="0"/>
                <w:numId w:val="6"/>
              </w:numPr>
              <w:rPr>
                <w:sz w:val="24"/>
                <w:szCs w:val="24"/>
              </w:rPr>
            </w:pPr>
            <w:r w:rsidRPr="0018129F">
              <w:rPr>
                <w:sz w:val="24"/>
                <w:szCs w:val="24"/>
              </w:rPr>
              <w:t>Unwilling/unable to share glucose and ketone monitoring data.</w:t>
            </w:r>
          </w:p>
        </w:tc>
        <w:tc>
          <w:tcPr>
            <w:tcW w:w="830" w:type="dxa"/>
          </w:tcPr>
          <w:p w14:paraId="00A99B06" w14:textId="77777777" w:rsidR="00681E40" w:rsidRDefault="00681E40" w:rsidP="00681E40">
            <w:pPr>
              <w:jc w:val="center"/>
              <w:rPr>
                <w:sz w:val="24"/>
                <w:szCs w:val="24"/>
              </w:rPr>
            </w:pPr>
          </w:p>
        </w:tc>
        <w:tc>
          <w:tcPr>
            <w:tcW w:w="754" w:type="dxa"/>
          </w:tcPr>
          <w:p w14:paraId="05ACF34D" w14:textId="77777777" w:rsidR="00681E40" w:rsidRDefault="00681E40" w:rsidP="00681E40">
            <w:pPr>
              <w:jc w:val="center"/>
              <w:rPr>
                <w:sz w:val="24"/>
                <w:szCs w:val="24"/>
              </w:rPr>
            </w:pPr>
          </w:p>
        </w:tc>
      </w:tr>
      <w:tr w:rsidR="00681E40" w14:paraId="7FAADC71" w14:textId="77777777" w:rsidTr="00551399">
        <w:tc>
          <w:tcPr>
            <w:tcW w:w="7432" w:type="dxa"/>
          </w:tcPr>
          <w:p w14:paraId="3AFD8F3A" w14:textId="673C4267" w:rsidR="00681E40" w:rsidRPr="0018129F" w:rsidRDefault="00681E40" w:rsidP="0018129F">
            <w:pPr>
              <w:pStyle w:val="ListParagraph"/>
              <w:numPr>
                <w:ilvl w:val="0"/>
                <w:numId w:val="6"/>
              </w:numPr>
              <w:rPr>
                <w:sz w:val="24"/>
                <w:szCs w:val="24"/>
              </w:rPr>
            </w:pPr>
            <w:r w:rsidRPr="0018129F">
              <w:rPr>
                <w:sz w:val="24"/>
                <w:szCs w:val="24"/>
              </w:rPr>
              <w:t>Use of any investigational drugs within five times of the elimination half-life after the last dose or within 30 days, whichever is longer. Current enrolment in non-interventional, observational studies will be allowed.</w:t>
            </w:r>
          </w:p>
        </w:tc>
        <w:tc>
          <w:tcPr>
            <w:tcW w:w="830" w:type="dxa"/>
          </w:tcPr>
          <w:p w14:paraId="2C6C64CF" w14:textId="77777777" w:rsidR="00681E40" w:rsidRDefault="00681E40" w:rsidP="00681E40">
            <w:pPr>
              <w:jc w:val="center"/>
              <w:rPr>
                <w:sz w:val="24"/>
                <w:szCs w:val="24"/>
              </w:rPr>
            </w:pPr>
          </w:p>
        </w:tc>
        <w:tc>
          <w:tcPr>
            <w:tcW w:w="754" w:type="dxa"/>
          </w:tcPr>
          <w:p w14:paraId="556430A4" w14:textId="77777777" w:rsidR="00681E40" w:rsidRDefault="00681E40" w:rsidP="00681E40">
            <w:pPr>
              <w:jc w:val="center"/>
              <w:rPr>
                <w:sz w:val="24"/>
                <w:szCs w:val="24"/>
              </w:rPr>
            </w:pPr>
          </w:p>
        </w:tc>
      </w:tr>
      <w:tr w:rsidR="00193A6D" w14:paraId="28035856" w14:textId="77777777" w:rsidTr="00551399">
        <w:tc>
          <w:tcPr>
            <w:tcW w:w="7432" w:type="dxa"/>
          </w:tcPr>
          <w:p w14:paraId="64235730" w14:textId="77777777" w:rsidR="00193A6D" w:rsidRPr="00193A6D" w:rsidRDefault="00193A6D" w:rsidP="00193A6D">
            <w:pPr>
              <w:numPr>
                <w:ilvl w:val="1"/>
                <w:numId w:val="0"/>
              </w:numPr>
              <w:shd w:val="clear" w:color="auto" w:fill="F2F2F2"/>
              <w:spacing w:before="240" w:after="120" w:line="276" w:lineRule="auto"/>
              <w:ind w:left="431" w:hanging="431"/>
              <w:outlineLvl w:val="2"/>
              <w:rPr>
                <w:rFonts w:ascii="Arial Bold" w:eastAsia="Calibri" w:hAnsi="Arial" w:cs="Arial"/>
                <w:b/>
                <w:kern w:val="0"/>
                <w14:ligatures w14:val="none"/>
              </w:rPr>
            </w:pPr>
            <w:bookmarkStart w:id="0" w:name="_Toc213930331"/>
            <w:r w:rsidRPr="00193A6D">
              <w:rPr>
                <w:rFonts w:ascii="Arial Bold" w:eastAsia="Calibri" w:hAnsi="Arial" w:cs="Arial"/>
                <w:b/>
                <w:kern w:val="0"/>
                <w14:ligatures w14:val="none"/>
              </w:rPr>
              <w:t>CMR sub-study eligibility criteria</w:t>
            </w:r>
            <w:bookmarkEnd w:id="0"/>
          </w:p>
          <w:p w14:paraId="3AD4B7E3" w14:textId="77777777" w:rsidR="00193A6D" w:rsidRPr="00193A6D" w:rsidRDefault="00193A6D" w:rsidP="00193A6D">
            <w:pPr>
              <w:shd w:val="clear" w:color="auto" w:fill="F2F2F2"/>
              <w:spacing w:after="120" w:line="276" w:lineRule="auto"/>
              <w:rPr>
                <w:rFonts w:ascii="Arial" w:eastAsia="Calibri" w:hAnsi="Arial" w:cs="Arial"/>
                <w:b/>
                <w:bCs/>
                <w:kern w:val="0"/>
                <w14:ligatures w14:val="none"/>
              </w:rPr>
            </w:pPr>
            <w:r w:rsidRPr="00193A6D">
              <w:rPr>
                <w:rFonts w:ascii="Arial" w:eastAsia="Calibri" w:hAnsi="Arial" w:cs="Arial"/>
                <w:b/>
                <w:bCs/>
                <w:kern w:val="0"/>
                <w14:ligatures w14:val="none"/>
              </w:rPr>
              <w:t>Inclusion criteria</w:t>
            </w:r>
          </w:p>
          <w:p w14:paraId="0D9F4514" w14:textId="77777777" w:rsidR="00193A6D" w:rsidRPr="00193A6D" w:rsidRDefault="00193A6D" w:rsidP="00193A6D">
            <w:pPr>
              <w:numPr>
                <w:ilvl w:val="0"/>
                <w:numId w:val="8"/>
              </w:numPr>
              <w:shd w:val="clear" w:color="auto" w:fill="F2F2F2"/>
              <w:spacing w:after="120" w:line="276" w:lineRule="auto"/>
              <w:contextualSpacing/>
              <w:rPr>
                <w:rFonts w:ascii="Arial" w:eastAsia="Calibri" w:hAnsi="Arial" w:cs="Arial"/>
                <w:b/>
                <w:bCs/>
                <w:kern w:val="0"/>
                <w14:ligatures w14:val="none"/>
              </w:rPr>
            </w:pPr>
            <w:r w:rsidRPr="00193A6D">
              <w:rPr>
                <w:rFonts w:ascii="Arial" w:eastAsia="Calibri" w:hAnsi="Arial" w:cs="Arial"/>
                <w:kern w:val="0"/>
                <w14:ligatures w14:val="none"/>
              </w:rPr>
              <w:t>Eligible to be randomised in main trial*</w:t>
            </w:r>
          </w:p>
          <w:p w14:paraId="3229B9ED" w14:textId="77777777" w:rsidR="00193A6D" w:rsidRPr="00193A6D" w:rsidRDefault="00193A6D" w:rsidP="00193A6D">
            <w:pPr>
              <w:numPr>
                <w:ilvl w:val="0"/>
                <w:numId w:val="8"/>
              </w:numPr>
              <w:shd w:val="clear" w:color="auto" w:fill="F2F2F2"/>
              <w:spacing w:after="120" w:line="276" w:lineRule="auto"/>
              <w:ind w:right="-23"/>
              <w:contextualSpacing/>
              <w:rPr>
                <w:rFonts w:ascii="Arial" w:eastAsia="Calibri" w:hAnsi="Arial" w:cs="Arial"/>
                <w:kern w:val="0"/>
                <w14:ligatures w14:val="none"/>
              </w:rPr>
            </w:pPr>
            <w:r w:rsidRPr="00193A6D">
              <w:rPr>
                <w:rFonts w:ascii="Arial" w:eastAsia="Calibri" w:hAnsi="Arial" w:cs="Arial"/>
                <w:kern w:val="0"/>
                <w14:ligatures w14:val="none"/>
              </w:rPr>
              <w:t>Able to comply with sub-study procedures.</w:t>
            </w:r>
          </w:p>
          <w:p w14:paraId="05CE92A4" w14:textId="77777777" w:rsidR="00193A6D" w:rsidRPr="00193A6D" w:rsidRDefault="00193A6D" w:rsidP="00193A6D">
            <w:pPr>
              <w:numPr>
                <w:ilvl w:val="0"/>
                <w:numId w:val="8"/>
              </w:numPr>
              <w:shd w:val="clear" w:color="auto" w:fill="F2F2F2"/>
              <w:spacing w:after="120" w:line="276" w:lineRule="auto"/>
              <w:contextualSpacing/>
              <w:rPr>
                <w:rFonts w:ascii="Arial" w:eastAsia="Calibri" w:hAnsi="Arial" w:cs="Arial"/>
                <w:kern w:val="0"/>
                <w14:ligatures w14:val="none"/>
              </w:rPr>
            </w:pPr>
            <w:r w:rsidRPr="00193A6D">
              <w:rPr>
                <w:rFonts w:ascii="Arial" w:eastAsia="Calibri" w:hAnsi="Arial" w:cs="Arial"/>
                <w:kern w:val="0"/>
                <w14:ligatures w14:val="none"/>
              </w:rPr>
              <w:t>Written informed consent.</w:t>
            </w:r>
          </w:p>
          <w:p w14:paraId="60DC5360" w14:textId="77777777" w:rsidR="00193A6D" w:rsidRPr="00193A6D" w:rsidRDefault="00193A6D" w:rsidP="00193A6D">
            <w:pPr>
              <w:shd w:val="clear" w:color="auto" w:fill="F2F2F2"/>
              <w:spacing w:after="120" w:line="276" w:lineRule="auto"/>
              <w:ind w:left="360"/>
              <w:contextualSpacing/>
              <w:rPr>
                <w:rFonts w:ascii="Arial" w:eastAsia="Calibri" w:hAnsi="Arial" w:cs="Arial"/>
                <w:kern w:val="0"/>
                <w14:ligatures w14:val="none"/>
              </w:rPr>
            </w:pPr>
          </w:p>
          <w:p w14:paraId="7F7773BF" w14:textId="77777777" w:rsidR="00193A6D" w:rsidRPr="00193A6D" w:rsidRDefault="00193A6D" w:rsidP="00193A6D">
            <w:pPr>
              <w:pBdr>
                <w:top w:val="single" w:sz="4" w:space="1" w:color="F2F2F2"/>
                <w:left w:val="single" w:sz="4" w:space="4" w:color="F2F2F2"/>
                <w:bottom w:val="single" w:sz="4" w:space="1" w:color="F2F2F2"/>
                <w:right w:val="single" w:sz="4" w:space="4" w:color="F2F2F2"/>
              </w:pBdr>
              <w:shd w:val="pct5" w:color="auto" w:fill="auto"/>
              <w:spacing w:before="240" w:after="120" w:line="276" w:lineRule="auto"/>
              <w:contextualSpacing/>
              <w:rPr>
                <w:rFonts w:ascii="Arial" w:eastAsia="Calibri" w:hAnsi="Arial" w:cs="Arial"/>
                <w:b/>
                <w:bCs/>
                <w:kern w:val="0"/>
                <w14:ligatures w14:val="none"/>
              </w:rPr>
            </w:pPr>
            <w:r w:rsidRPr="00193A6D">
              <w:rPr>
                <w:rFonts w:ascii="Arial" w:eastAsia="Calibri" w:hAnsi="Arial" w:cs="Arial"/>
                <w:b/>
                <w:bCs/>
                <w:kern w:val="0"/>
                <w14:ligatures w14:val="none"/>
              </w:rPr>
              <w:t>Exclusion criteria</w:t>
            </w:r>
          </w:p>
          <w:p w14:paraId="24A0597B"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Non-CMR compatible implantable cardiac device i.e. pacemaker, implantable defibrillator.</w:t>
            </w:r>
          </w:p>
          <w:p w14:paraId="36957729"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Metallic foreign bodies, including suspicion of.</w:t>
            </w:r>
          </w:p>
          <w:p w14:paraId="1F093192"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Claustrophobia or inability to remain still during imaging.</w:t>
            </w:r>
          </w:p>
          <w:p w14:paraId="3EBF6111"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Contra-indication to intravenous adenosine as judged by the investigator, i.e. asthma; severe chronic obstructive lung disease; decompensated heart failure; long QT syndrome; second- or third-degree AV block and sick sinus syndrome; severe hypotension.</w:t>
            </w:r>
          </w:p>
          <w:p w14:paraId="4EFB9766"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Contra-indication/allergy to gadolinium contrast media.</w:t>
            </w:r>
          </w:p>
          <w:p w14:paraId="24EC162C" w14:textId="77777777" w:rsidR="00193A6D" w:rsidRPr="00193A6D" w:rsidRDefault="00193A6D" w:rsidP="00193A6D">
            <w:pPr>
              <w:numPr>
                <w:ilvl w:val="0"/>
                <w:numId w:val="7"/>
              </w:numPr>
              <w:pBdr>
                <w:top w:val="single" w:sz="4" w:space="1" w:color="F2F2F2"/>
                <w:left w:val="single" w:sz="4" w:space="4" w:color="F2F2F2"/>
                <w:bottom w:val="single" w:sz="4" w:space="1" w:color="F2F2F2"/>
                <w:right w:val="single" w:sz="4" w:space="4" w:color="F2F2F2"/>
              </w:pBdr>
              <w:shd w:val="pct5" w:color="auto" w:fill="auto"/>
              <w:tabs>
                <w:tab w:val="left" w:pos="284"/>
              </w:tabs>
              <w:autoSpaceDE w:val="0"/>
              <w:autoSpaceDN w:val="0"/>
              <w:spacing w:before="120" w:after="120" w:line="360" w:lineRule="auto"/>
              <w:contextualSpacing/>
              <w:rPr>
                <w:rFonts w:ascii="Arial" w:eastAsia="Calibri" w:hAnsi="Arial" w:cs="Arial"/>
                <w:b/>
                <w:bCs/>
                <w:kern w:val="0"/>
                <w14:ligatures w14:val="none"/>
              </w:rPr>
            </w:pPr>
            <w:r w:rsidRPr="00193A6D">
              <w:rPr>
                <w:rFonts w:ascii="Arial" w:eastAsia="Calibri" w:hAnsi="Arial" w:cs="Arial"/>
                <w:kern w:val="0"/>
                <w14:ligatures w14:val="none"/>
              </w:rPr>
              <w:t>Estimated glomerular filtration rate (eGFR) &lt;30mL/min/1.73m</w:t>
            </w:r>
            <w:r w:rsidRPr="00193A6D">
              <w:rPr>
                <w:rFonts w:ascii="Arial" w:eastAsia="Calibri" w:hAnsi="Arial" w:cs="Arial"/>
                <w:kern w:val="0"/>
                <w:vertAlign w:val="superscript"/>
                <w14:ligatures w14:val="none"/>
              </w:rPr>
              <w:t>2</w:t>
            </w:r>
            <w:r w:rsidRPr="00193A6D">
              <w:rPr>
                <w:rFonts w:ascii="Arial" w:eastAsia="Calibri" w:hAnsi="Arial" w:cs="Arial"/>
                <w:kern w:val="0"/>
                <w14:ligatures w14:val="none"/>
              </w:rPr>
              <w:t>.</w:t>
            </w:r>
          </w:p>
          <w:p w14:paraId="101B61F7" w14:textId="77777777" w:rsidR="00193A6D" w:rsidRPr="00193A6D" w:rsidRDefault="00193A6D" w:rsidP="00193A6D">
            <w:pPr>
              <w:pBdr>
                <w:top w:val="single" w:sz="4" w:space="1" w:color="F2F2F2"/>
                <w:left w:val="single" w:sz="4" w:space="4" w:color="F2F2F2"/>
                <w:bottom w:val="single" w:sz="4" w:space="1" w:color="F2F2F2"/>
                <w:right w:val="single" w:sz="4" w:space="4" w:color="F2F2F2"/>
              </w:pBdr>
              <w:shd w:val="pct5" w:color="auto" w:fill="auto"/>
              <w:spacing w:after="120" w:line="276" w:lineRule="auto"/>
              <w:rPr>
                <w:rFonts w:ascii="Arial" w:eastAsia="Calibri" w:hAnsi="Arial" w:cs="Arial"/>
                <w:b/>
                <w:bCs/>
                <w:kern w:val="0"/>
                <w14:ligatures w14:val="none"/>
              </w:rPr>
            </w:pPr>
            <w:r w:rsidRPr="00193A6D">
              <w:rPr>
                <w:rFonts w:ascii="Arial" w:eastAsia="Calibri" w:hAnsi="Arial" w:cs="Arial"/>
                <w:kern w:val="0"/>
                <w14:ligatures w14:val="none"/>
              </w:rPr>
              <w:t xml:space="preserve">*Not all information regarding final eligibility for the main trial may be known at the time of the CMR imaging as some inclusion or exclusion criteria (e.g. relating to events between screening and randomisation) </w:t>
            </w:r>
            <w:r w:rsidRPr="00193A6D">
              <w:rPr>
                <w:rFonts w:ascii="Arial" w:eastAsia="Calibri" w:hAnsi="Arial" w:cs="Arial"/>
                <w:kern w:val="0"/>
                <w14:ligatures w14:val="none"/>
              </w:rPr>
              <w:lastRenderedPageBreak/>
              <w:t>may not be finalised, however the investigator will use their judgement as to the likelihood of eligibility for the main trial to facilitate recruitment into the CMR sub-study.</w:t>
            </w:r>
          </w:p>
          <w:p w14:paraId="0589FB41" w14:textId="77777777" w:rsidR="00193A6D" w:rsidRPr="00193A6D" w:rsidRDefault="00193A6D" w:rsidP="00193A6D">
            <w:pPr>
              <w:pBdr>
                <w:top w:val="single" w:sz="4" w:space="1" w:color="F2F2F2"/>
                <w:left w:val="single" w:sz="4" w:space="4" w:color="F2F2F2"/>
                <w:bottom w:val="single" w:sz="4" w:space="1" w:color="F2F2F2"/>
                <w:right w:val="single" w:sz="4" w:space="4" w:color="F2F2F2"/>
              </w:pBdr>
              <w:shd w:val="pct5" w:color="auto" w:fill="auto"/>
              <w:spacing w:after="120" w:line="276" w:lineRule="auto"/>
              <w:rPr>
                <w:rFonts w:ascii="Arial" w:eastAsia="Calibri" w:hAnsi="Arial" w:cs="Arial"/>
                <w:b/>
                <w:bCs/>
                <w:kern w:val="0"/>
                <w14:ligatures w14:val="none"/>
              </w:rPr>
            </w:pPr>
            <w:r w:rsidRPr="00193A6D">
              <w:rPr>
                <w:rFonts w:ascii="Arial" w:eastAsia="Calibri" w:hAnsi="Arial" w:cs="Arial"/>
                <w:kern w:val="0"/>
                <w14:ligatures w14:val="none"/>
              </w:rPr>
              <w:t xml:space="preserve">Participants in the CMR sub-study should meet all inclusion criteria for the main trial, and all known exclusion criteria prior to CMR. If a participant becomes ineligible for the main trial after the first CMR imaging, they will be withdrawn and no further imaging completed. </w:t>
            </w:r>
          </w:p>
          <w:p w14:paraId="3228C44F" w14:textId="77777777" w:rsidR="00193A6D" w:rsidRPr="0018129F" w:rsidRDefault="00193A6D" w:rsidP="00193A6D">
            <w:pPr>
              <w:pStyle w:val="ListParagraph"/>
              <w:rPr>
                <w:sz w:val="24"/>
                <w:szCs w:val="24"/>
              </w:rPr>
            </w:pPr>
          </w:p>
        </w:tc>
        <w:tc>
          <w:tcPr>
            <w:tcW w:w="830" w:type="dxa"/>
          </w:tcPr>
          <w:p w14:paraId="60FFC85D" w14:textId="77777777" w:rsidR="00193A6D" w:rsidRDefault="00193A6D" w:rsidP="00681E40">
            <w:pPr>
              <w:jc w:val="center"/>
              <w:rPr>
                <w:sz w:val="24"/>
                <w:szCs w:val="24"/>
              </w:rPr>
            </w:pPr>
          </w:p>
        </w:tc>
        <w:tc>
          <w:tcPr>
            <w:tcW w:w="754" w:type="dxa"/>
          </w:tcPr>
          <w:p w14:paraId="4FB6846E" w14:textId="77777777" w:rsidR="00193A6D" w:rsidRDefault="00193A6D" w:rsidP="00681E40">
            <w:pPr>
              <w:jc w:val="center"/>
              <w:rPr>
                <w:sz w:val="24"/>
                <w:szCs w:val="24"/>
              </w:rPr>
            </w:pPr>
          </w:p>
        </w:tc>
      </w:tr>
    </w:tbl>
    <w:p w14:paraId="71CB9602" w14:textId="77777777" w:rsidR="004D7F20" w:rsidRDefault="004D7F20" w:rsidP="004D7F20">
      <w:pPr>
        <w:rPr>
          <w:sz w:val="24"/>
          <w:szCs w:val="24"/>
        </w:rPr>
      </w:pPr>
    </w:p>
    <w:p w14:paraId="76181E7B" w14:textId="674FD49D" w:rsidR="004D7F20" w:rsidRDefault="004D7F20" w:rsidP="004D7F20">
      <w:pPr>
        <w:rPr>
          <w:sz w:val="24"/>
          <w:szCs w:val="24"/>
        </w:rPr>
      </w:pPr>
      <w:r>
        <w:rPr>
          <w:sz w:val="24"/>
          <w:szCs w:val="24"/>
        </w:rPr>
        <w:t>Is the participant eligible to take part in the trial?</w:t>
      </w:r>
      <w:r>
        <w:rPr>
          <w:sz w:val="24"/>
          <w:szCs w:val="24"/>
        </w:rPr>
        <w:tab/>
      </w:r>
      <w:r>
        <w:rPr>
          <w:sz w:val="24"/>
          <w:szCs w:val="24"/>
        </w:rPr>
        <w:tab/>
      </w:r>
      <w:r>
        <w:rPr>
          <w:sz w:val="24"/>
          <w:szCs w:val="24"/>
        </w:rPr>
        <w:tab/>
        <w:t>Yes/No</w:t>
      </w:r>
    </w:p>
    <w:p w14:paraId="5ADF3932" w14:textId="77777777" w:rsidR="004D7F20" w:rsidRDefault="004D7F20" w:rsidP="004D7F20">
      <w:pPr>
        <w:rPr>
          <w:sz w:val="24"/>
          <w:szCs w:val="24"/>
        </w:rPr>
      </w:pPr>
    </w:p>
    <w:p w14:paraId="17103477" w14:textId="1E5FC397" w:rsidR="004D7F20" w:rsidRDefault="004D7F20" w:rsidP="004D7F20">
      <w:pPr>
        <w:rPr>
          <w:sz w:val="24"/>
          <w:szCs w:val="24"/>
        </w:rPr>
      </w:pPr>
      <w:r>
        <w:rPr>
          <w:sz w:val="24"/>
          <w:szCs w:val="24"/>
        </w:rPr>
        <w:t>Signed by Delegated Doctor:   _________________________________</w:t>
      </w:r>
    </w:p>
    <w:p w14:paraId="022D4940" w14:textId="77777777" w:rsidR="004D7F20" w:rsidRDefault="004D7F20" w:rsidP="004D7F20">
      <w:pPr>
        <w:rPr>
          <w:sz w:val="24"/>
          <w:szCs w:val="24"/>
        </w:rPr>
      </w:pPr>
    </w:p>
    <w:p w14:paraId="23CB51AF" w14:textId="6894E720" w:rsidR="004D7F20" w:rsidRPr="004D7F20" w:rsidRDefault="004D7F20" w:rsidP="004D7F20">
      <w:pPr>
        <w:rPr>
          <w:sz w:val="24"/>
          <w:szCs w:val="24"/>
        </w:rPr>
      </w:pPr>
      <w:r>
        <w:rPr>
          <w:sz w:val="24"/>
          <w:szCs w:val="24"/>
        </w:rPr>
        <w:t>Date: ___________________________</w:t>
      </w:r>
    </w:p>
    <w:sectPr w:rsidR="004D7F20" w:rsidRPr="004D7F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C7AB" w14:textId="77777777" w:rsidR="004F0DA4" w:rsidRDefault="004F0DA4" w:rsidP="004D7F20">
      <w:pPr>
        <w:spacing w:after="0" w:line="240" w:lineRule="auto"/>
      </w:pPr>
      <w:r>
        <w:separator/>
      </w:r>
    </w:p>
  </w:endnote>
  <w:endnote w:type="continuationSeparator" w:id="0">
    <w:p w14:paraId="3639E327" w14:textId="77777777" w:rsidR="004F0DA4" w:rsidRDefault="004F0DA4" w:rsidP="004D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768990"/>
      <w:docPartObj>
        <w:docPartGallery w:val="Page Numbers (Bottom of Page)"/>
        <w:docPartUnique/>
      </w:docPartObj>
    </w:sdtPr>
    <w:sdtContent>
      <w:sdt>
        <w:sdtPr>
          <w:id w:val="-1769616900"/>
          <w:docPartObj>
            <w:docPartGallery w:val="Page Numbers (Top of Page)"/>
            <w:docPartUnique/>
          </w:docPartObj>
        </w:sdtPr>
        <w:sdtContent>
          <w:p w14:paraId="0211AF15" w14:textId="0954B707" w:rsidR="00FE6CCC" w:rsidRDefault="00FE6C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08372B" w14:textId="5D521A64" w:rsidR="00FE6CCC" w:rsidRDefault="00FE6CCC">
    <w:pPr>
      <w:pStyle w:val="Footer"/>
    </w:pPr>
    <w:r>
      <w:t xml:space="preserve">SOPHIST Eligibility Form Worksheet </w:t>
    </w:r>
    <w:r w:rsidR="00F24BA2">
      <w:t>3</w:t>
    </w:r>
    <w:r>
      <w:t xml:space="preserve"> </w:t>
    </w:r>
    <w:r w:rsidR="00EE3D14">
      <w:t>04</w:t>
    </w:r>
    <w:r>
      <w:t>-0</w:t>
    </w:r>
    <w:r w:rsidR="00EE3D14">
      <w:t>3</w:t>
    </w:r>
    <w:r>
      <w:t>-202</w:t>
    </w:r>
    <w:r w:rsidR="00F24BA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221D" w14:textId="77777777" w:rsidR="004F0DA4" w:rsidRDefault="004F0DA4" w:rsidP="004D7F20">
      <w:pPr>
        <w:spacing w:after="0" w:line="240" w:lineRule="auto"/>
      </w:pPr>
      <w:r>
        <w:separator/>
      </w:r>
    </w:p>
  </w:footnote>
  <w:footnote w:type="continuationSeparator" w:id="0">
    <w:p w14:paraId="62AC013B" w14:textId="77777777" w:rsidR="004F0DA4" w:rsidRDefault="004F0DA4" w:rsidP="004D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CF2B" w14:textId="027E1229" w:rsidR="004D7F20" w:rsidRDefault="004D7F20">
    <w:pPr>
      <w:pStyle w:val="Header"/>
    </w:pPr>
    <w:r w:rsidRPr="00BE2D5E">
      <w:rPr>
        <w:b/>
        <w:bCs/>
        <w:noProof/>
      </w:rPr>
      <w:drawing>
        <wp:anchor distT="0" distB="0" distL="114300" distR="114300" simplePos="0" relativeHeight="251658240" behindDoc="1" locked="0" layoutInCell="1" allowOverlap="1" wp14:anchorId="398B5569" wp14:editId="72260FAC">
          <wp:simplePos x="0" y="0"/>
          <wp:positionH relativeFrom="column">
            <wp:posOffset>3838353</wp:posOffset>
          </wp:positionH>
          <wp:positionV relativeFrom="paragraph">
            <wp:posOffset>-76968</wp:posOffset>
          </wp:positionV>
          <wp:extent cx="1895475" cy="540299"/>
          <wp:effectExtent l="0" t="0" r="0" b="0"/>
          <wp:wrapTight wrapText="bothSides">
            <wp:wrapPolygon edited="0">
              <wp:start x="0" y="0"/>
              <wp:lineTo x="0" y="20584"/>
              <wp:lineTo x="21274" y="20584"/>
              <wp:lineTo x="21274" y="0"/>
              <wp:lineTo x="0" y="0"/>
            </wp:wrapPolygon>
          </wp:wrapTight>
          <wp:docPr id="1"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5475" cy="540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55E"/>
    <w:multiLevelType w:val="hybridMultilevel"/>
    <w:tmpl w:val="D1C63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37E2B"/>
    <w:multiLevelType w:val="hybridMultilevel"/>
    <w:tmpl w:val="1554A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40C6E"/>
    <w:multiLevelType w:val="hybridMultilevel"/>
    <w:tmpl w:val="58EA7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57B1D"/>
    <w:multiLevelType w:val="hybridMultilevel"/>
    <w:tmpl w:val="4C3649E6"/>
    <w:lvl w:ilvl="0" w:tplc="B2923348">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6F17AE0"/>
    <w:multiLevelType w:val="hybridMultilevel"/>
    <w:tmpl w:val="47223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DD0944"/>
    <w:multiLevelType w:val="hybridMultilevel"/>
    <w:tmpl w:val="37369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75AB7"/>
    <w:multiLevelType w:val="hybridMultilevel"/>
    <w:tmpl w:val="67E0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4B043D"/>
    <w:multiLevelType w:val="hybridMultilevel"/>
    <w:tmpl w:val="FD3ED3D6"/>
    <w:lvl w:ilvl="0" w:tplc="0809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4875800">
    <w:abstractNumId w:val="6"/>
  </w:num>
  <w:num w:numId="2" w16cid:durableId="1622036595">
    <w:abstractNumId w:val="2"/>
  </w:num>
  <w:num w:numId="3" w16cid:durableId="159660283">
    <w:abstractNumId w:val="4"/>
  </w:num>
  <w:num w:numId="4" w16cid:durableId="472912213">
    <w:abstractNumId w:val="1"/>
  </w:num>
  <w:num w:numId="5" w16cid:durableId="1889681492">
    <w:abstractNumId w:val="0"/>
  </w:num>
  <w:num w:numId="6" w16cid:durableId="421613425">
    <w:abstractNumId w:val="5"/>
  </w:num>
  <w:num w:numId="7" w16cid:durableId="1374423558">
    <w:abstractNumId w:val="3"/>
  </w:num>
  <w:num w:numId="8" w16cid:durableId="1097754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20"/>
    <w:rsid w:val="0000071E"/>
    <w:rsid w:val="000156AC"/>
    <w:rsid w:val="000812A1"/>
    <w:rsid w:val="000B6A31"/>
    <w:rsid w:val="000C62BF"/>
    <w:rsid w:val="00120C80"/>
    <w:rsid w:val="00126DCC"/>
    <w:rsid w:val="00153122"/>
    <w:rsid w:val="001717E6"/>
    <w:rsid w:val="00171F75"/>
    <w:rsid w:val="0018129F"/>
    <w:rsid w:val="00193A6D"/>
    <w:rsid w:val="001C79C2"/>
    <w:rsid w:val="001F1B30"/>
    <w:rsid w:val="002448F7"/>
    <w:rsid w:val="0024603E"/>
    <w:rsid w:val="002B0C70"/>
    <w:rsid w:val="00315AE4"/>
    <w:rsid w:val="0038204A"/>
    <w:rsid w:val="003D6822"/>
    <w:rsid w:val="00455044"/>
    <w:rsid w:val="004D7F20"/>
    <w:rsid w:val="004F0DA4"/>
    <w:rsid w:val="004F51B1"/>
    <w:rsid w:val="00500DF2"/>
    <w:rsid w:val="00514F97"/>
    <w:rsid w:val="00522190"/>
    <w:rsid w:val="00551399"/>
    <w:rsid w:val="005A5F9C"/>
    <w:rsid w:val="005B4ACA"/>
    <w:rsid w:val="005D517D"/>
    <w:rsid w:val="00601E7B"/>
    <w:rsid w:val="0063014B"/>
    <w:rsid w:val="00673B2D"/>
    <w:rsid w:val="00681E40"/>
    <w:rsid w:val="00690B0D"/>
    <w:rsid w:val="00726BF5"/>
    <w:rsid w:val="007E208B"/>
    <w:rsid w:val="00842BC6"/>
    <w:rsid w:val="0085634C"/>
    <w:rsid w:val="00893579"/>
    <w:rsid w:val="008F6ECD"/>
    <w:rsid w:val="00935831"/>
    <w:rsid w:val="00953114"/>
    <w:rsid w:val="009D471E"/>
    <w:rsid w:val="00A338E6"/>
    <w:rsid w:val="00A85586"/>
    <w:rsid w:val="00A958BE"/>
    <w:rsid w:val="00AD627F"/>
    <w:rsid w:val="00AE135B"/>
    <w:rsid w:val="00B02272"/>
    <w:rsid w:val="00B24ECF"/>
    <w:rsid w:val="00B27061"/>
    <w:rsid w:val="00B4119C"/>
    <w:rsid w:val="00B92A9C"/>
    <w:rsid w:val="00BB508C"/>
    <w:rsid w:val="00BD42CB"/>
    <w:rsid w:val="00BF3153"/>
    <w:rsid w:val="00C51D40"/>
    <w:rsid w:val="00C567E4"/>
    <w:rsid w:val="00C870AF"/>
    <w:rsid w:val="00CA1627"/>
    <w:rsid w:val="00D12807"/>
    <w:rsid w:val="00D27C38"/>
    <w:rsid w:val="00D36C29"/>
    <w:rsid w:val="00D42832"/>
    <w:rsid w:val="00D64838"/>
    <w:rsid w:val="00D648A7"/>
    <w:rsid w:val="00DD5658"/>
    <w:rsid w:val="00E401C9"/>
    <w:rsid w:val="00E71E38"/>
    <w:rsid w:val="00E87756"/>
    <w:rsid w:val="00EA78F9"/>
    <w:rsid w:val="00EE3D14"/>
    <w:rsid w:val="00F03101"/>
    <w:rsid w:val="00F05054"/>
    <w:rsid w:val="00F12312"/>
    <w:rsid w:val="00F24BA2"/>
    <w:rsid w:val="00F276C8"/>
    <w:rsid w:val="00F33CBF"/>
    <w:rsid w:val="00F9249E"/>
    <w:rsid w:val="00F9341F"/>
    <w:rsid w:val="00FC11D0"/>
    <w:rsid w:val="00FD41ED"/>
    <w:rsid w:val="00FD4846"/>
    <w:rsid w:val="00FE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BBB3"/>
  <w15:chartTrackingRefBased/>
  <w15:docId w15:val="{4179F60B-D5F7-4A05-B823-32016266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F20"/>
    <w:rPr>
      <w:rFonts w:eastAsiaTheme="majorEastAsia" w:cstheme="majorBidi"/>
      <w:color w:val="272727" w:themeColor="text1" w:themeTint="D8"/>
    </w:rPr>
  </w:style>
  <w:style w:type="paragraph" w:styleId="Title">
    <w:name w:val="Title"/>
    <w:basedOn w:val="Normal"/>
    <w:next w:val="Normal"/>
    <w:link w:val="TitleChar"/>
    <w:uiPriority w:val="10"/>
    <w:qFormat/>
    <w:rsid w:val="004D7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F20"/>
    <w:pPr>
      <w:spacing w:before="160"/>
      <w:jc w:val="center"/>
    </w:pPr>
    <w:rPr>
      <w:i/>
      <w:iCs/>
      <w:color w:val="404040" w:themeColor="text1" w:themeTint="BF"/>
    </w:rPr>
  </w:style>
  <w:style w:type="character" w:customStyle="1" w:styleId="QuoteChar">
    <w:name w:val="Quote Char"/>
    <w:basedOn w:val="DefaultParagraphFont"/>
    <w:link w:val="Quote"/>
    <w:uiPriority w:val="29"/>
    <w:rsid w:val="004D7F20"/>
    <w:rPr>
      <w:i/>
      <w:iCs/>
      <w:color w:val="404040" w:themeColor="text1" w:themeTint="BF"/>
    </w:rPr>
  </w:style>
  <w:style w:type="paragraph" w:styleId="ListParagraph">
    <w:name w:val="List Paragraph"/>
    <w:basedOn w:val="Normal"/>
    <w:uiPriority w:val="34"/>
    <w:qFormat/>
    <w:rsid w:val="004D7F20"/>
    <w:pPr>
      <w:ind w:left="720"/>
      <w:contextualSpacing/>
    </w:pPr>
  </w:style>
  <w:style w:type="character" w:styleId="IntenseEmphasis">
    <w:name w:val="Intense Emphasis"/>
    <w:basedOn w:val="DefaultParagraphFont"/>
    <w:uiPriority w:val="21"/>
    <w:qFormat/>
    <w:rsid w:val="004D7F20"/>
    <w:rPr>
      <w:i/>
      <w:iCs/>
      <w:color w:val="2F5496" w:themeColor="accent1" w:themeShade="BF"/>
    </w:rPr>
  </w:style>
  <w:style w:type="paragraph" w:styleId="IntenseQuote">
    <w:name w:val="Intense Quote"/>
    <w:basedOn w:val="Normal"/>
    <w:next w:val="Normal"/>
    <w:link w:val="IntenseQuoteChar"/>
    <w:uiPriority w:val="30"/>
    <w:qFormat/>
    <w:rsid w:val="004D7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F20"/>
    <w:rPr>
      <w:i/>
      <w:iCs/>
      <w:color w:val="2F5496" w:themeColor="accent1" w:themeShade="BF"/>
    </w:rPr>
  </w:style>
  <w:style w:type="character" w:styleId="IntenseReference">
    <w:name w:val="Intense Reference"/>
    <w:basedOn w:val="DefaultParagraphFont"/>
    <w:uiPriority w:val="32"/>
    <w:qFormat/>
    <w:rsid w:val="004D7F20"/>
    <w:rPr>
      <w:b/>
      <w:bCs/>
      <w:smallCaps/>
      <w:color w:val="2F5496" w:themeColor="accent1" w:themeShade="BF"/>
      <w:spacing w:val="5"/>
    </w:rPr>
  </w:style>
  <w:style w:type="paragraph" w:styleId="Header">
    <w:name w:val="header"/>
    <w:basedOn w:val="Normal"/>
    <w:link w:val="HeaderChar"/>
    <w:uiPriority w:val="99"/>
    <w:unhideWhenUsed/>
    <w:rsid w:val="004D7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F20"/>
  </w:style>
  <w:style w:type="paragraph" w:styleId="Footer">
    <w:name w:val="footer"/>
    <w:basedOn w:val="Normal"/>
    <w:link w:val="FooterChar"/>
    <w:uiPriority w:val="99"/>
    <w:unhideWhenUsed/>
    <w:rsid w:val="004D7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F20"/>
  </w:style>
  <w:style w:type="table" w:styleId="TableGrid">
    <w:name w:val="Table Grid"/>
    <w:basedOn w:val="TableNormal"/>
    <w:uiPriority w:val="39"/>
    <w:rsid w:val="004D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7F20"/>
    <w:pPr>
      <w:widowControl w:val="0"/>
      <w:autoSpaceDE w:val="0"/>
      <w:autoSpaceDN w:val="0"/>
      <w:spacing w:after="0" w:line="240" w:lineRule="auto"/>
    </w:pPr>
    <w:rPr>
      <w:rFonts w:ascii="Arial" w:eastAsia="Arial" w:hAnsi="Arial" w:cs="Arial"/>
      <w:kern w:val="0"/>
      <w:sz w:val="16"/>
      <w:szCs w:val="16"/>
      <w:lang w:val="en-US"/>
    </w:rPr>
  </w:style>
  <w:style w:type="character" w:customStyle="1" w:styleId="BodyTextChar">
    <w:name w:val="Body Text Char"/>
    <w:basedOn w:val="DefaultParagraphFont"/>
    <w:link w:val="BodyText"/>
    <w:uiPriority w:val="1"/>
    <w:rsid w:val="004D7F20"/>
    <w:rPr>
      <w:rFonts w:ascii="Arial" w:eastAsia="Arial" w:hAnsi="Arial" w:cs="Arial"/>
      <w:kern w:val="0"/>
      <w:sz w:val="16"/>
      <w:szCs w:val="16"/>
      <w:lang w:val="en-US"/>
    </w:rPr>
  </w:style>
  <w:style w:type="paragraph" w:customStyle="1" w:styleId="TableParagraph">
    <w:name w:val="Table Paragraph"/>
    <w:basedOn w:val="Normal"/>
    <w:uiPriority w:val="1"/>
    <w:qFormat/>
    <w:rsid w:val="004D7F20"/>
    <w:pPr>
      <w:widowControl w:val="0"/>
      <w:autoSpaceDE w:val="0"/>
      <w:autoSpaceDN w:val="0"/>
      <w:spacing w:after="0" w:line="240" w:lineRule="auto"/>
    </w:pPr>
    <w:rPr>
      <w:rFonts w:ascii="Arial" w:eastAsia="Arial" w:hAnsi="Arial" w:cs="Arial"/>
      <w:kern w:val="0"/>
      <w:lang w:val="en-US"/>
    </w:rPr>
  </w:style>
  <w:style w:type="paragraph" w:customStyle="1" w:styleId="Default">
    <w:name w:val="Default"/>
    <w:rsid w:val="00F9249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Props1.xml><?xml version="1.0" encoding="utf-8"?>
<ds:datastoreItem xmlns:ds="http://schemas.openxmlformats.org/officeDocument/2006/customXml" ds:itemID="{753478FD-18D3-46CD-B209-3FED1130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797f-fc30-40b0-ba8f-2eda3f87d1fd"/>
    <ds:schemaRef ds:uri="cb6a2286-f96f-4f80-9e3c-3c712f41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FA53B-6094-424C-8DF9-94963E7B74D8}">
  <ds:schemaRefs>
    <ds:schemaRef ds:uri="http://schemas.microsoft.com/sharepoint/v3/contenttype/forms"/>
  </ds:schemaRefs>
</ds:datastoreItem>
</file>

<file path=customXml/itemProps3.xml><?xml version="1.0" encoding="utf-8"?>
<ds:datastoreItem xmlns:ds="http://schemas.openxmlformats.org/officeDocument/2006/customXml" ds:itemID="{5EFF82C2-3649-480F-87D1-FEB681D32F8D}">
  <ds:schemaRefs>
    <ds:schemaRef ds:uri="http://schemas.microsoft.com/office/2006/metadata/properties"/>
    <ds:schemaRef ds:uri="http://schemas.microsoft.com/office/infopath/2007/PartnerControls"/>
    <ds:schemaRef ds:uri="7f0f797f-fc30-40b0-ba8f-2eda3f87d1fd"/>
    <ds:schemaRef ds:uri="cb6a2286-f96f-4f80-9e3c-3c712f41363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1029</Words>
  <Characters>6024</Characters>
  <Application>Microsoft Office Word</Application>
  <DocSecurity>0</DocSecurity>
  <Lines>223</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Watt (Staff)</dc:creator>
  <cp:keywords/>
  <dc:description/>
  <cp:lastModifiedBy>Lorna Campbell (Staff)</cp:lastModifiedBy>
  <cp:revision>43</cp:revision>
  <cp:lastPrinted>2024-11-20T23:35:00Z</cp:lastPrinted>
  <dcterms:created xsi:type="dcterms:W3CDTF">2026-03-04T13:07:00Z</dcterms:created>
  <dcterms:modified xsi:type="dcterms:W3CDTF">2026-03-17T11:48:00Z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MediaServiceImageTags">
    <vt:lpwstr/>
  </property>
  <property fmtid="{D5CDD505-2E9C-101B-9397-08002B2CF9AE}" pid="4" name="MSIP_Label_a618d1e0-f5d7-4da7-8ddd-3b83021a2c85_Enabled">
    <vt:lpwstr>true</vt:lpwstr>
  </property>
  <property fmtid="{D5CDD505-2E9C-101B-9397-08002B2CF9AE}" pid="5" name="MSIP_Label_a618d1e0-f5d7-4da7-8ddd-3b83021a2c85_SetDate">
    <vt:lpwstr>2025-03-04T10:59:23Z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09b4d32d-bcba-415f-9f49-f62ccf4c25bc</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ies>
</file>